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666F1E8F" w:rsidR="008F17C5" w:rsidRPr="008F17C5" w:rsidRDefault="008F17C5" w:rsidP="008F17C5">
      <w:pPr>
        <w:pStyle w:val="logo"/>
      </w:pPr>
      <w:r w:rsidRPr="008F17C5">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03A5B0B6" w:rsidR="005E3B50" w:rsidRDefault="007B4A20" w:rsidP="005E3B50">
      <w:pPr>
        <w:pStyle w:val="Title"/>
      </w:pPr>
      <w:r>
        <w:t>TDT Fractio</w:t>
      </w:r>
      <w:r w:rsidR="00CC45D1">
        <w:t>ns:</w:t>
      </w:r>
    </w:p>
    <w:p w14:paraId="711D6721" w14:textId="0678DF42" w:rsidR="00CC45D1" w:rsidRDefault="00DF539F" w:rsidP="005E3B50">
      <w:pPr>
        <w:pStyle w:val="Title"/>
      </w:pPr>
      <w:r>
        <w:t>Module 2</w:t>
      </w:r>
      <w:r w:rsidR="007B4A20">
        <w:t>:</w:t>
      </w:r>
      <w:r>
        <w:t xml:space="preserve"> Misconceptions</w:t>
      </w:r>
    </w:p>
    <w:p w14:paraId="2821B777" w14:textId="7DAC184D" w:rsidR="007411E3" w:rsidRPr="00021DEE" w:rsidRDefault="007B4A20" w:rsidP="006326F9">
      <w:pPr>
        <w:pStyle w:val="Subtitle"/>
      </w:pPr>
      <w:r>
        <w:t>Information for facilitator</w:t>
      </w:r>
      <w:r w:rsidR="00B51484">
        <w:t>s</w:t>
      </w:r>
      <w:r w:rsidR="00282325">
        <w:t xml:space="preserve"> </w:t>
      </w:r>
    </w:p>
    <w:p w14:paraId="01508F4A" w14:textId="77777777" w:rsidR="004A6C59" w:rsidRDefault="004A6C59" w:rsidP="00B51484">
      <w:pPr>
        <w:spacing w:after="160"/>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769109AE" w:rsidR="00282325" w:rsidRPr="00D33842" w:rsidRDefault="004A6C59" w:rsidP="00B51484">
      <w:pPr>
        <w:spacing w:after="160"/>
        <w:rPr>
          <w:sz w:val="24"/>
          <w:szCs w:val="24"/>
        </w:rPr>
      </w:pPr>
      <w:r>
        <w:rPr>
          <w:sz w:val="24"/>
          <w:szCs w:val="24"/>
        </w:rPr>
        <w:t xml:space="preserve">The </w:t>
      </w:r>
      <w:r w:rsidR="00DF539F">
        <w:rPr>
          <w:i/>
          <w:sz w:val="24"/>
          <w:szCs w:val="24"/>
        </w:rPr>
        <w:t>Fractio</w:t>
      </w:r>
      <w:r w:rsidR="001119B4">
        <w:rPr>
          <w:i/>
          <w:sz w:val="24"/>
          <w:szCs w:val="24"/>
        </w:rPr>
        <w:t>n</w:t>
      </w:r>
      <w:r w:rsidRPr="004A6C59">
        <w:rPr>
          <w:i/>
          <w:sz w:val="24"/>
          <w:szCs w:val="24"/>
        </w:rPr>
        <w:t>s</w:t>
      </w:r>
      <w:r>
        <w:rPr>
          <w:sz w:val="24"/>
          <w:szCs w:val="24"/>
        </w:rPr>
        <w:t xml:space="preserve"> drawer is one of six </w:t>
      </w:r>
      <w:r w:rsidR="009F3A47">
        <w:rPr>
          <w:sz w:val="24"/>
          <w:szCs w:val="24"/>
        </w:rPr>
        <w:t>drawers, which</w:t>
      </w:r>
      <w:r>
        <w:rPr>
          <w:sz w:val="24"/>
          <w:szCs w:val="24"/>
        </w:rPr>
        <w:t xml:space="preserve"> provide expert advice, teaching suggestions and classroom activities. </w:t>
      </w:r>
      <w:r w:rsidR="00C126C1">
        <w:rPr>
          <w:sz w:val="24"/>
          <w:szCs w:val="24"/>
        </w:rPr>
        <w:t>This module is</w:t>
      </w:r>
      <w:r w:rsidR="009F3A47">
        <w:rPr>
          <w:sz w:val="24"/>
          <w:szCs w:val="24"/>
        </w:rPr>
        <w:t xml:space="preserve"> a guide to </w:t>
      </w:r>
      <w:r w:rsidR="00DF539F">
        <w:rPr>
          <w:sz w:val="24"/>
          <w:szCs w:val="24"/>
        </w:rPr>
        <w:t>the ‘Misunderstandings’ of Fractions</w:t>
      </w:r>
      <w:r w:rsidR="00C126C1">
        <w:rPr>
          <w:sz w:val="24"/>
          <w:szCs w:val="24"/>
        </w:rPr>
        <w:t>.</w:t>
      </w: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6326F9" w:rsidRDefault="006326F9" w:rsidP="006326F9">
      <w:pPr>
        <w:rPr>
          <w:b/>
        </w:rPr>
      </w:pPr>
      <w:r w:rsidRPr="006326F9">
        <w:rPr>
          <w:b/>
        </w:rPr>
        <w:t>This resource was developed by</w:t>
      </w:r>
    </w:p>
    <w:p w14:paraId="11634DF9" w14:textId="7CFCD4A2" w:rsidR="006326F9" w:rsidRDefault="00DF539F" w:rsidP="006326F9">
      <w:r>
        <w:t>Rachael Whitney-Smith</w:t>
      </w:r>
    </w:p>
    <w:p w14:paraId="52B24D97" w14:textId="5B252008" w:rsidR="006326F9" w:rsidRDefault="00BE0DE6" w:rsidP="00B51484">
      <w:pPr>
        <w:rPr>
          <w:b/>
        </w:rPr>
      </w:pPr>
      <w:r w:rsidRPr="00BE0DE6">
        <w:rPr>
          <w:b/>
        </w:rPr>
        <w:t>It is suitable for</w:t>
      </w:r>
    </w:p>
    <w:p w14:paraId="3A4AC339" w14:textId="75DCC45F" w:rsidR="00BE0DE6" w:rsidRPr="00BE0DE6" w:rsidRDefault="00BE0DE6" w:rsidP="00B51484">
      <w:r>
        <w:t>Teac</w:t>
      </w:r>
      <w:r w:rsidR="00DF539F">
        <w:t>hers of students in Years F to 12</w:t>
      </w:r>
    </w:p>
    <w:p w14:paraId="1404490A" w14:textId="77777777" w:rsidR="00BE0DE6" w:rsidRPr="00BE0DE6" w:rsidRDefault="00C126C1" w:rsidP="00B51484">
      <w:pPr>
        <w:rPr>
          <w:b/>
        </w:rPr>
      </w:pPr>
      <w:r w:rsidRPr="00BE0DE6">
        <w:rPr>
          <w:b/>
        </w:rPr>
        <w:t>The resources for this module include</w:t>
      </w:r>
    </w:p>
    <w:p w14:paraId="5E55533D" w14:textId="340B8B44" w:rsidR="00C126C1" w:rsidRDefault="00C126C1" w:rsidP="00C126C1">
      <w:pPr>
        <w:ind w:left="567"/>
      </w:pPr>
      <w:r>
        <w:t>Facilitator notes</w:t>
      </w:r>
    </w:p>
    <w:p w14:paraId="0A673291" w14:textId="59021F00" w:rsidR="00C126C1" w:rsidRDefault="00C126C1" w:rsidP="00C126C1">
      <w:pPr>
        <w:ind w:left="567"/>
      </w:pPr>
      <w:r>
        <w:t>Session slideshow (available as a PowerPoint and a PDF)</w:t>
      </w:r>
    </w:p>
    <w:p w14:paraId="25D9303E" w14:textId="12F7E18B" w:rsidR="001119B4" w:rsidRDefault="00DF539F" w:rsidP="001119B4">
      <w:pPr>
        <w:ind w:left="567"/>
      </w:pPr>
      <w:r>
        <w:t xml:space="preserve">Web site access to AAMT Top Drawer Teachers Fractions </w:t>
      </w:r>
      <w:r>
        <w:fldChar w:fldCharType="begin"/>
      </w:r>
      <w:r>
        <w:instrText xml:space="preserve"> HYPERLINK "http://topdrawer.aamt.edu.au/Fractions/Misunderstandings" </w:instrText>
      </w:r>
      <w:r>
        <w:fldChar w:fldCharType="separate"/>
      </w:r>
      <w:r w:rsidRPr="00DF539F">
        <w:rPr>
          <w:rStyle w:val="Hyperlink"/>
        </w:rPr>
        <w:t>Misunderstandings</w:t>
      </w:r>
      <w:r w:rsidR="001119B4">
        <w:rPr>
          <w:rStyle w:val="Hyperlink"/>
        </w:rPr>
        <w:t xml:space="preserve"> </w:t>
      </w:r>
    </w:p>
    <w:p w14:paraId="5BA36AF1" w14:textId="170FC1B0" w:rsidR="001119B4" w:rsidRPr="002F13D2" w:rsidRDefault="001119B4" w:rsidP="002F13D2">
      <w:pPr>
        <w:widowControl w:val="0"/>
        <w:autoSpaceDE w:val="0"/>
        <w:autoSpaceDN w:val="0"/>
        <w:adjustRightInd w:val="0"/>
        <w:spacing w:after="0" w:line="240" w:lineRule="auto"/>
        <w:rPr>
          <w:rStyle w:val="Hyperlink"/>
          <w:rFonts w:cs="Arial"/>
          <w:color w:val="1A1718"/>
          <w:szCs w:val="22"/>
          <w:u w:val="none"/>
        </w:rPr>
      </w:pPr>
      <w:r>
        <w:tab/>
        <w:t xml:space="preserve">Download 1:Template of Different sized shapes  </w:t>
      </w:r>
      <w:hyperlink r:id="rId10" w:history="1">
        <w:r w:rsidRPr="00DF539F">
          <w:rPr>
            <w:rFonts w:cs="Arial"/>
            <w:color w:val="0C67B5"/>
            <w:szCs w:val="22"/>
            <w:u w:val="single" w:color="0C67B5"/>
          </w:rPr>
          <w:t>tdt_F_templateofshapes.pdf</w:t>
        </w:r>
      </w:hyperlink>
    </w:p>
    <w:p w14:paraId="52864A1D" w14:textId="77777777" w:rsidR="002F13D2" w:rsidRDefault="00DF539F" w:rsidP="001119B4">
      <w:pPr>
        <w:widowControl w:val="0"/>
        <w:autoSpaceDE w:val="0"/>
        <w:autoSpaceDN w:val="0"/>
        <w:adjustRightInd w:val="0"/>
        <w:spacing w:after="0" w:line="240" w:lineRule="auto"/>
      </w:pPr>
      <w:r>
        <w:fldChar w:fldCharType="end"/>
      </w:r>
      <w:r w:rsidR="002F13D2">
        <w:tab/>
      </w:r>
    </w:p>
    <w:p w14:paraId="39012B0D" w14:textId="2B39DA8F" w:rsidR="00DF539F" w:rsidRPr="001119B4" w:rsidRDefault="002F13D2" w:rsidP="002F13D2">
      <w:pPr>
        <w:widowControl w:val="0"/>
        <w:autoSpaceDE w:val="0"/>
        <w:autoSpaceDN w:val="0"/>
        <w:adjustRightInd w:val="0"/>
        <w:spacing w:after="0" w:line="240" w:lineRule="auto"/>
        <w:rPr>
          <w:rFonts w:cs="Arial"/>
          <w:color w:val="1A1718"/>
          <w:szCs w:val="22"/>
        </w:rPr>
      </w:pPr>
      <w:r>
        <w:tab/>
      </w:r>
      <w:r w:rsidR="00C126C1">
        <w:t>Download 2</w:t>
      </w:r>
      <w:r w:rsidR="00C126C1" w:rsidRPr="00DF539F">
        <w:t>:</w:t>
      </w:r>
      <w:r w:rsidR="00DF539F" w:rsidRPr="00DF539F">
        <w:t xml:space="preserve"> </w:t>
      </w:r>
      <w:hyperlink r:id="rId11" w:history="1">
        <w:r w:rsidR="00DF539F" w:rsidRPr="00DF539F">
          <w:rPr>
            <w:rStyle w:val="Hyperlink"/>
            <w:rFonts w:cs="Arial"/>
            <w:bCs/>
            <w:szCs w:val="22"/>
          </w:rPr>
          <w:t>Sorting fractions cards slide presentation</w:t>
        </w:r>
      </w:hyperlink>
    </w:p>
    <w:p w14:paraId="48E38CBA" w14:textId="77777777" w:rsidR="002F13D2" w:rsidRDefault="002F13D2" w:rsidP="002F13D2">
      <w:pPr>
        <w:widowControl w:val="0"/>
        <w:autoSpaceDE w:val="0"/>
        <w:autoSpaceDN w:val="0"/>
        <w:adjustRightInd w:val="0"/>
        <w:spacing w:after="0" w:line="240" w:lineRule="auto"/>
        <w:ind w:firstLine="567"/>
        <w:rPr>
          <w:rFonts w:cs="Arial"/>
          <w:color w:val="1A1718"/>
          <w:szCs w:val="22"/>
        </w:rPr>
      </w:pPr>
    </w:p>
    <w:p w14:paraId="2C651614" w14:textId="5DAC3BC2" w:rsidR="00BE0DE6" w:rsidRPr="002F13D2" w:rsidRDefault="00BE0DE6" w:rsidP="002F13D2">
      <w:pPr>
        <w:widowControl w:val="0"/>
        <w:autoSpaceDE w:val="0"/>
        <w:autoSpaceDN w:val="0"/>
        <w:adjustRightInd w:val="0"/>
        <w:spacing w:after="0" w:line="240" w:lineRule="auto"/>
        <w:ind w:firstLine="567"/>
        <w:rPr>
          <w:rFonts w:cs="Arial"/>
          <w:color w:val="1A1718"/>
          <w:szCs w:val="22"/>
        </w:rPr>
      </w:pPr>
      <w:r>
        <w:t xml:space="preserve">Download 3: </w:t>
      </w:r>
      <w:r w:rsidR="00DF539F">
        <w:t xml:space="preserve">Tierney Kennedy’s </w:t>
      </w:r>
      <w:hyperlink r:id="rId12" w:history="1">
        <w:r w:rsidR="00DF539F" w:rsidRPr="00DF539F">
          <w:rPr>
            <w:rStyle w:val="Hyperlink"/>
          </w:rPr>
          <w:t>Diagonostic</w:t>
        </w:r>
      </w:hyperlink>
      <w:r w:rsidR="00DF539F">
        <w:t xml:space="preserve"> Test </w:t>
      </w:r>
      <w:hyperlink r:id="rId13" w:history="1">
        <w:r w:rsidR="00FC35FB" w:rsidRPr="00CD091F">
          <w:rPr>
            <w:rStyle w:val="Hyperlink"/>
          </w:rPr>
          <w:t>https://www.backtofrontmaths.com.au/wp-content/uploads/2015/10/Fractions-diagnostic-test.pdf</w:t>
        </w:r>
      </w:hyperlink>
      <w:r w:rsidR="00FC35FB">
        <w:t xml:space="preserve"> </w:t>
      </w:r>
    </w:p>
    <w:p w14:paraId="421F3E27" w14:textId="43A02D4B" w:rsidR="00BE0DE6" w:rsidRDefault="00BE0DE6" w:rsidP="00BE0DE6">
      <w:pPr>
        <w:rPr>
          <w:b/>
        </w:rPr>
      </w:pPr>
      <w:r w:rsidRPr="00BE0DE6">
        <w:rPr>
          <w:b/>
        </w:rPr>
        <w:t>This module is</w:t>
      </w:r>
    </w:p>
    <w:p w14:paraId="434E16C7" w14:textId="24C3CA77" w:rsidR="0082230C" w:rsidRPr="0082230C" w:rsidRDefault="00DF539F" w:rsidP="001119B4">
      <w:pPr>
        <w:ind w:left="567"/>
      </w:pPr>
      <w:r>
        <w:t xml:space="preserve">The </w:t>
      </w:r>
      <w:r w:rsidR="009F3A47">
        <w:t xml:space="preserve">module is the </w:t>
      </w:r>
      <w:r>
        <w:t>second in a series of six</w:t>
      </w:r>
      <w:r w:rsidR="0082230C" w:rsidRPr="0082230C">
        <w:t xml:space="preserve"> mod</w:t>
      </w:r>
      <w:r>
        <w:t>ules on Fraction</w:t>
      </w:r>
      <w:r w:rsidR="0082230C" w:rsidRPr="0082230C">
        <w:t>s</w:t>
      </w:r>
      <w:r w:rsidR="001119B4">
        <w:t>. It is d</w:t>
      </w:r>
      <w:r>
        <w:t>esigned to take between 45 and 9</w:t>
      </w:r>
      <w:r w:rsidR="0082230C">
        <w:t>0 minutes</w:t>
      </w:r>
      <w:r>
        <w:t xml:space="preserve"> depending on the number of teacher activities used and the depth of the analysis of the misconceptions test</w:t>
      </w:r>
      <w:r w:rsidR="00BE3558">
        <w:t>.</w:t>
      </w:r>
    </w:p>
    <w:p w14:paraId="712E7612" w14:textId="5EB7E944" w:rsidR="0038625A" w:rsidRDefault="001119B4" w:rsidP="0082230C">
      <w:pPr>
        <w:rPr>
          <w:b/>
        </w:rPr>
      </w:pPr>
      <w:r>
        <w:rPr>
          <w:b/>
        </w:rPr>
        <w:t>Module Objectives</w:t>
      </w:r>
    </w:p>
    <w:p w14:paraId="709189CA" w14:textId="77777777" w:rsidR="00891106" w:rsidRPr="001119B4" w:rsidRDefault="00F73F7C" w:rsidP="001119B4">
      <w:pPr>
        <w:numPr>
          <w:ilvl w:val="0"/>
          <w:numId w:val="21"/>
        </w:numPr>
      </w:pPr>
      <w:r w:rsidRPr="001119B4">
        <w:t>To identify the key misunderstandings surrounding fractions</w:t>
      </w:r>
    </w:p>
    <w:p w14:paraId="1A60075E" w14:textId="22279B6E" w:rsidR="00891106" w:rsidRPr="001119B4" w:rsidRDefault="00F73F7C" w:rsidP="001119B4">
      <w:pPr>
        <w:numPr>
          <w:ilvl w:val="0"/>
          <w:numId w:val="21"/>
        </w:numPr>
      </w:pPr>
      <w:r w:rsidRPr="001119B4">
        <w:t xml:space="preserve">To provide teachers with some strategies on how to address </w:t>
      </w:r>
      <w:r w:rsidR="00BE3558">
        <w:t>pre-conceived misunderstandings</w:t>
      </w:r>
    </w:p>
    <w:p w14:paraId="710753B9" w14:textId="77777777" w:rsidR="00891106" w:rsidRPr="001119B4" w:rsidRDefault="00F73F7C" w:rsidP="001119B4">
      <w:pPr>
        <w:numPr>
          <w:ilvl w:val="0"/>
          <w:numId w:val="21"/>
        </w:numPr>
      </w:pPr>
      <w:r w:rsidRPr="001119B4">
        <w:t>To provide teachers with some strategies to prevent students developing misunderstandings in the first place</w:t>
      </w:r>
    </w:p>
    <w:p w14:paraId="6932BE2A" w14:textId="62B139C0" w:rsidR="0082230C" w:rsidRPr="0082230C" w:rsidRDefault="000C0AC2" w:rsidP="0082230C">
      <w:pPr>
        <w:rPr>
          <w:b/>
        </w:rPr>
      </w:pPr>
      <w:r>
        <w:rPr>
          <w:b/>
        </w:rPr>
        <w:t>Australian Institute for Teaching and School Leadership (</w:t>
      </w:r>
      <w:r w:rsidR="0082230C" w:rsidRPr="0082230C">
        <w:rPr>
          <w:b/>
        </w:rPr>
        <w:t>AITSL</w:t>
      </w:r>
      <w:r>
        <w:rPr>
          <w:b/>
        </w:rPr>
        <w:t>)</w:t>
      </w:r>
      <w:r w:rsidR="0082230C" w:rsidRPr="0082230C">
        <w:rPr>
          <w:b/>
        </w:rPr>
        <w:t xml:space="preserve"> Standards addressed</w:t>
      </w:r>
    </w:p>
    <w:p w14:paraId="5C9A8BBE" w14:textId="2FEFDF80" w:rsidR="002F13D2" w:rsidRDefault="002F13D2" w:rsidP="0082230C">
      <w:pPr>
        <w:rPr>
          <w:bCs/>
        </w:rPr>
      </w:pPr>
      <w:r>
        <w:rPr>
          <w:bCs/>
        </w:rPr>
        <w:t>Professional Knowledge</w:t>
      </w:r>
    </w:p>
    <w:p w14:paraId="5AB638BC" w14:textId="74B86B82" w:rsidR="0082230C" w:rsidRPr="0082230C" w:rsidRDefault="0082230C" w:rsidP="0082230C">
      <w:r w:rsidRPr="0082230C">
        <w:rPr>
          <w:bCs/>
        </w:rPr>
        <w:t>Standard 1:</w:t>
      </w:r>
      <w:r>
        <w:tab/>
      </w:r>
      <w:r>
        <w:tab/>
      </w:r>
      <w:r w:rsidRPr="0082230C">
        <w:t>Know students and how they learn</w:t>
      </w:r>
    </w:p>
    <w:p w14:paraId="1BAB5838" w14:textId="33D7AEDD" w:rsidR="0082230C" w:rsidRPr="0082230C" w:rsidRDefault="00192B5C" w:rsidP="0082230C">
      <w:pPr>
        <w:ind w:left="1134" w:firstLine="567"/>
      </w:pPr>
      <w:r>
        <w:t>1.2</w:t>
      </w:r>
      <w:r>
        <w:tab/>
      </w:r>
      <w:r w:rsidR="0082230C" w:rsidRPr="0082230C">
        <w:t>Understand how students learn</w:t>
      </w:r>
    </w:p>
    <w:p w14:paraId="1764209B" w14:textId="6508ECF8" w:rsidR="0082230C" w:rsidRPr="0082230C" w:rsidRDefault="0082230C" w:rsidP="0082230C">
      <w:r w:rsidRPr="0082230C">
        <w:rPr>
          <w:bCs/>
        </w:rPr>
        <w:t>Standard 2:</w:t>
      </w:r>
      <w:r>
        <w:tab/>
      </w:r>
      <w:r>
        <w:tab/>
      </w:r>
      <w:r w:rsidRPr="0082230C">
        <w:t>Know the content and how to teach it</w:t>
      </w:r>
    </w:p>
    <w:p w14:paraId="6B74B2AB" w14:textId="0EFDB7D4" w:rsidR="0082230C" w:rsidRDefault="00192B5C" w:rsidP="0082230C">
      <w:pPr>
        <w:ind w:left="1134" w:firstLine="567"/>
      </w:pPr>
      <w:r>
        <w:t>2.1</w:t>
      </w:r>
      <w:r>
        <w:tab/>
      </w:r>
      <w:r w:rsidR="0082230C" w:rsidRPr="0082230C">
        <w:t>Content and teaching strategies of the teaching area</w:t>
      </w:r>
    </w:p>
    <w:p w14:paraId="785DAA43" w14:textId="30F70B00" w:rsidR="0082230C" w:rsidRDefault="00192B5C" w:rsidP="0082230C">
      <w:pPr>
        <w:ind w:left="1134" w:firstLine="567"/>
      </w:pPr>
      <w:r>
        <w:t>2.5</w:t>
      </w:r>
      <w:r>
        <w:tab/>
      </w:r>
      <w:r w:rsidR="0082230C" w:rsidRPr="0082230C">
        <w:t>Literacy and numeracy strategies</w:t>
      </w:r>
    </w:p>
    <w:p w14:paraId="5202C47E" w14:textId="2A1258CC" w:rsidR="002F13D2" w:rsidRDefault="002F13D2" w:rsidP="00DF539F">
      <w:r>
        <w:t>Professional Practice</w:t>
      </w:r>
    </w:p>
    <w:p w14:paraId="232A62F8" w14:textId="2C239039" w:rsidR="00DF539F" w:rsidRDefault="00DF539F" w:rsidP="00DF539F">
      <w:r>
        <w:t>Standard 5:</w:t>
      </w:r>
      <w:r>
        <w:tab/>
      </w:r>
      <w:r>
        <w:tab/>
        <w:t>Assess, provide feedback and report on student learning</w:t>
      </w:r>
    </w:p>
    <w:p w14:paraId="6CEB7072" w14:textId="1F45B270" w:rsidR="007C7DBC" w:rsidRPr="0082230C" w:rsidRDefault="007C7DBC" w:rsidP="00DF539F">
      <w:r>
        <w:tab/>
      </w:r>
      <w:r>
        <w:tab/>
      </w:r>
      <w:r>
        <w:tab/>
        <w:t>5.1 Assess student learning</w:t>
      </w:r>
    </w:p>
    <w:p w14:paraId="1CE55DF5" w14:textId="26523D4C" w:rsidR="002F13D2" w:rsidRDefault="002F13D2" w:rsidP="0082230C">
      <w:pPr>
        <w:rPr>
          <w:bCs/>
        </w:rPr>
      </w:pPr>
      <w:r>
        <w:t>Professional Engagement</w:t>
      </w:r>
    </w:p>
    <w:p w14:paraId="3C59C832" w14:textId="7CA189A6" w:rsidR="0082230C" w:rsidRPr="00CC2457" w:rsidRDefault="0082230C" w:rsidP="0082230C">
      <w:r w:rsidRPr="0082230C">
        <w:rPr>
          <w:bCs/>
        </w:rPr>
        <w:t>Standard 6:</w:t>
      </w:r>
      <w:r>
        <w:tab/>
      </w:r>
      <w:r>
        <w:tab/>
      </w:r>
      <w:r w:rsidRPr="0082230C">
        <w:t>Engage</w:t>
      </w:r>
      <w:r w:rsidRPr="00CC2457">
        <w:t xml:space="preserve"> in professional learning</w:t>
      </w:r>
    </w:p>
    <w:p w14:paraId="6BD51926" w14:textId="77777777" w:rsidR="0082230C" w:rsidRPr="0082230C" w:rsidRDefault="0082230C" w:rsidP="0082230C"/>
    <w:p w14:paraId="68BB0F96" w14:textId="5A2DF720" w:rsidR="00282325" w:rsidRPr="002F13D2" w:rsidRDefault="00282325" w:rsidP="002F13D2">
      <w:pPr>
        <w:spacing w:after="160"/>
        <w:rPr>
          <w:rFonts w:asciiTheme="majorHAnsi" w:eastAsiaTheme="majorEastAsia" w:hAnsiTheme="majorHAnsi" w:cstheme="majorBidi"/>
          <w:b/>
          <w:color w:val="20414B" w:themeColor="accent5" w:themeShade="80"/>
          <w:sz w:val="36"/>
          <w:szCs w:val="36"/>
        </w:rPr>
      </w:pPr>
      <w:r w:rsidRPr="002F13D2">
        <w:rPr>
          <w:b/>
          <w:color w:val="20414B" w:themeColor="accent5" w:themeShade="80"/>
          <w:sz w:val="36"/>
          <w:szCs w:val="36"/>
        </w:rPr>
        <w:t>Background</w:t>
      </w:r>
    </w:p>
    <w:p w14:paraId="2C3A6CC0" w14:textId="24A60709" w:rsidR="00C76265" w:rsidRPr="007C7DBC" w:rsidRDefault="007C7DBC" w:rsidP="0082230C">
      <w:r>
        <w:t xml:space="preserve">Fractions and Decimals are </w:t>
      </w:r>
      <w:r w:rsidR="0082230C" w:rsidRPr="0051032A">
        <w:t>a sub</w:t>
      </w:r>
      <w:r w:rsidR="0082230C">
        <w:t>-</w:t>
      </w:r>
      <w:r>
        <w:t>strand of the ‘Number and A</w:t>
      </w:r>
      <w:r w:rsidR="0082230C" w:rsidRPr="0051032A">
        <w:t>lgebra</w:t>
      </w:r>
      <w:r>
        <w:t>’</w:t>
      </w:r>
      <w:r w:rsidR="0082230C" w:rsidRPr="0051032A">
        <w:t xml:space="preserve"> strand of the </w:t>
      </w:r>
      <w:r w:rsidR="00192B5C" w:rsidRPr="00192B5C">
        <w:rPr>
          <w:i/>
        </w:rPr>
        <w:t>Australian Curriculum: Mathematic</w:t>
      </w:r>
      <w:r w:rsidR="00192B5C" w:rsidRPr="00192B5C">
        <w:t>s</w:t>
      </w:r>
      <w:r>
        <w:t xml:space="preserve"> F - 6</w:t>
      </w:r>
      <w:r w:rsidR="00192B5C" w:rsidRPr="00192B5C">
        <w:t>.</w:t>
      </w:r>
      <w:r w:rsidR="00192B5C" w:rsidRPr="00192B5C">
        <w:rPr>
          <w:i/>
        </w:rPr>
        <w:t xml:space="preserve"> </w:t>
      </w:r>
      <w:r>
        <w:t xml:space="preserve">From year 7 and beyond, Fractions then form a part of the Real Numbers sub-strand of ‘Number and Algebra’. </w:t>
      </w:r>
    </w:p>
    <w:p w14:paraId="6B51DC89" w14:textId="53509251" w:rsidR="008F17C5" w:rsidRDefault="007C7DBC" w:rsidP="0082230C">
      <w:r>
        <w:t xml:space="preserve">Year 7 is the final year that fractions are explicitly taught within the Australian </w:t>
      </w:r>
      <w:r w:rsidR="0050027D">
        <w:t xml:space="preserve">Curriculum: </w:t>
      </w:r>
      <w:r>
        <w:t>Mathematics and for the duration of mathematics they form part of the assumed knowledge students are expected to have learned. Fraction knowledge is also assumed within the Statistics and Probability strand from year 5 and beyond.</w:t>
      </w:r>
    </w:p>
    <w:p w14:paraId="3B66CF78" w14:textId="23D0DAEE" w:rsidR="001119B4" w:rsidRDefault="001119B4" w:rsidP="0082230C">
      <w:r>
        <w:t xml:space="preserve">National and international </w:t>
      </w:r>
      <w:r w:rsidR="005B753D">
        <w:t>assessments such as NAPLAN, TIMSS</w:t>
      </w:r>
      <w:r>
        <w:t xml:space="preserve"> and the majority of Numeracy assessments contain a high percentage of Fraction related questions. If students have developed misconceptions surrounding their fractional understanding this will heavily impact upon the mathematical performance and numeracy development. </w:t>
      </w:r>
    </w:p>
    <w:p w14:paraId="7675EEC0" w14:textId="6F5A968C" w:rsidR="00761640" w:rsidRDefault="00C76265" w:rsidP="0082230C">
      <w:r>
        <w:t xml:space="preserve">These </w:t>
      </w:r>
      <w:r w:rsidR="001119B4">
        <w:t xml:space="preserve">facilitator </w:t>
      </w:r>
      <w:r>
        <w:t xml:space="preserve">notes are written to support the delivery of the module. </w:t>
      </w:r>
      <w:r w:rsidR="00761640">
        <w:t>It is recommended that you read them and any supporting materials thoroughly.</w:t>
      </w:r>
    </w:p>
    <w:p w14:paraId="550A1C8B" w14:textId="7B66657D" w:rsidR="0050027D" w:rsidRPr="006168EA" w:rsidRDefault="00C76265" w:rsidP="0082230C">
      <w:r>
        <w:t xml:space="preserve">You may decide to exclude some activities depending upon the </w:t>
      </w:r>
      <w:r w:rsidR="007C7DBC">
        <w:t xml:space="preserve">time available, the </w:t>
      </w:r>
      <w:r>
        <w:t xml:space="preserve">interests and backgrounds of the </w:t>
      </w:r>
      <w:r w:rsidR="00761640">
        <w:t>participan</w:t>
      </w:r>
      <w:r>
        <w:t>ts.</w:t>
      </w:r>
    </w:p>
    <w:p w14:paraId="4A3824D0" w14:textId="77777777" w:rsidR="00192B5C" w:rsidRDefault="00192B5C" w:rsidP="00192B5C">
      <w:pPr>
        <w:pStyle w:val="Heading1"/>
      </w:pPr>
      <w:r>
        <w:t>Resources</w:t>
      </w:r>
    </w:p>
    <w:p w14:paraId="000D15C0" w14:textId="4ED005E5" w:rsidR="006F7440" w:rsidRDefault="006F7440" w:rsidP="001119B4">
      <w:r>
        <w:t>2 x coloured square paper (can cut A4 into squares if you can</w:t>
      </w:r>
      <w:r w:rsidR="006168EA">
        <w:t xml:space="preserve">’t access </w:t>
      </w:r>
      <w:r>
        <w:t>squared paper)</w:t>
      </w:r>
    </w:p>
    <w:p w14:paraId="014E7D7D" w14:textId="7D7CA425" w:rsidR="001119B4" w:rsidRDefault="001119B4" w:rsidP="001119B4">
      <w:r>
        <w:t>A4 coloured paper (5 per group)</w:t>
      </w:r>
    </w:p>
    <w:p w14:paraId="3B30C501" w14:textId="529D741F" w:rsidR="001119B4" w:rsidRDefault="001119B4" w:rsidP="001119B4">
      <w:r>
        <w:t>A3 Paper (1 per group)</w:t>
      </w:r>
    </w:p>
    <w:p w14:paraId="0791CB9B" w14:textId="7F3C9CF9" w:rsidR="00DD00C1" w:rsidRDefault="00DD00C1" w:rsidP="001119B4">
      <w:r>
        <w:t>Scissors &amp; Markers</w:t>
      </w:r>
    </w:p>
    <w:p w14:paraId="60EF787A" w14:textId="77777777" w:rsidR="002F13D2" w:rsidRDefault="002F13D2" w:rsidP="002F13D2">
      <w:r>
        <w:t xml:space="preserve">Web site access to AAMT Top Drawer Teachers Fractions </w:t>
      </w:r>
      <w:r>
        <w:fldChar w:fldCharType="begin"/>
      </w:r>
      <w:r>
        <w:instrText xml:space="preserve"> HYPERLINK "http://topdrawer.aamt.edu.au/Fractions/Misunderstandings" </w:instrText>
      </w:r>
      <w:r>
        <w:fldChar w:fldCharType="separate"/>
      </w:r>
      <w:r w:rsidRPr="00DF539F">
        <w:rPr>
          <w:rStyle w:val="Hyperlink"/>
        </w:rPr>
        <w:t>Misunderstandings</w:t>
      </w:r>
      <w:r>
        <w:rPr>
          <w:rStyle w:val="Hyperlink"/>
        </w:rPr>
        <w:t xml:space="preserve"> </w:t>
      </w:r>
    </w:p>
    <w:p w14:paraId="5DEDC7DF" w14:textId="1E2D4492" w:rsidR="002F13D2" w:rsidRPr="002F13D2" w:rsidRDefault="002F13D2" w:rsidP="002F13D2">
      <w:pPr>
        <w:widowControl w:val="0"/>
        <w:autoSpaceDE w:val="0"/>
        <w:autoSpaceDN w:val="0"/>
        <w:adjustRightInd w:val="0"/>
        <w:spacing w:after="0" w:line="240" w:lineRule="auto"/>
        <w:rPr>
          <w:rStyle w:val="Hyperlink"/>
          <w:rFonts w:cs="Arial"/>
          <w:color w:val="1A1718"/>
          <w:szCs w:val="22"/>
          <w:u w:val="none"/>
        </w:rPr>
      </w:pPr>
      <w:r>
        <w:t xml:space="preserve">Template of Different sized shapes  </w:t>
      </w:r>
      <w:hyperlink r:id="rId14" w:history="1">
        <w:r w:rsidRPr="00DF539F">
          <w:rPr>
            <w:rFonts w:cs="Arial"/>
            <w:color w:val="0C67B5"/>
            <w:szCs w:val="22"/>
            <w:u w:val="single" w:color="0C67B5"/>
          </w:rPr>
          <w:t>tdt_F_templateofshapes.pdf</w:t>
        </w:r>
      </w:hyperlink>
      <w:r>
        <w:rPr>
          <w:rFonts w:cs="Arial"/>
          <w:color w:val="1A1718"/>
          <w:szCs w:val="22"/>
        </w:rPr>
        <w:t xml:space="preserve">  1 per group</w:t>
      </w:r>
    </w:p>
    <w:p w14:paraId="061990E7" w14:textId="77777777" w:rsidR="002F13D2" w:rsidRDefault="002F13D2" w:rsidP="002F13D2">
      <w:pPr>
        <w:widowControl w:val="0"/>
        <w:autoSpaceDE w:val="0"/>
        <w:autoSpaceDN w:val="0"/>
        <w:adjustRightInd w:val="0"/>
        <w:spacing w:after="0" w:line="240" w:lineRule="auto"/>
      </w:pPr>
      <w:r>
        <w:fldChar w:fldCharType="end"/>
      </w:r>
      <w:r>
        <w:tab/>
      </w:r>
    </w:p>
    <w:p w14:paraId="1DD8AE0F" w14:textId="6EC58986" w:rsidR="002F13D2" w:rsidRPr="001119B4" w:rsidRDefault="002A3D3A" w:rsidP="002F13D2">
      <w:pPr>
        <w:widowControl w:val="0"/>
        <w:autoSpaceDE w:val="0"/>
        <w:autoSpaceDN w:val="0"/>
        <w:adjustRightInd w:val="0"/>
        <w:spacing w:after="0" w:line="240" w:lineRule="auto"/>
        <w:rPr>
          <w:rFonts w:cs="Arial"/>
          <w:color w:val="1A1718"/>
          <w:szCs w:val="22"/>
        </w:rPr>
      </w:pPr>
      <w:hyperlink r:id="rId15" w:history="1">
        <w:r w:rsidR="002F13D2" w:rsidRPr="00DF539F">
          <w:rPr>
            <w:rStyle w:val="Hyperlink"/>
            <w:rFonts w:cs="Arial"/>
            <w:bCs/>
            <w:szCs w:val="22"/>
          </w:rPr>
          <w:t>Sorting fractions cards slide presentation</w:t>
        </w:r>
      </w:hyperlink>
    </w:p>
    <w:p w14:paraId="1C9A3B82" w14:textId="77777777" w:rsidR="002F13D2" w:rsidRDefault="002F13D2" w:rsidP="002F13D2">
      <w:pPr>
        <w:widowControl w:val="0"/>
        <w:autoSpaceDE w:val="0"/>
        <w:autoSpaceDN w:val="0"/>
        <w:adjustRightInd w:val="0"/>
        <w:spacing w:after="0" w:line="240" w:lineRule="auto"/>
        <w:rPr>
          <w:rFonts w:cs="Arial"/>
          <w:color w:val="1A1718"/>
          <w:szCs w:val="22"/>
        </w:rPr>
      </w:pPr>
      <w:r w:rsidRPr="00DF539F">
        <w:rPr>
          <w:rFonts w:cs="Arial"/>
          <w:color w:val="1A1718"/>
          <w:szCs w:val="22"/>
        </w:rPr>
        <w:t>This</w:t>
      </w:r>
      <w:r>
        <w:rPr>
          <w:rFonts w:cs="Arial"/>
          <w:color w:val="1A1718"/>
          <w:szCs w:val="22"/>
        </w:rPr>
        <w:t xml:space="preserve"> slide presentation demonstrates</w:t>
      </w:r>
      <w:r w:rsidRPr="00DF539F">
        <w:rPr>
          <w:rFonts w:cs="Arial"/>
          <w:color w:val="1A1718"/>
          <w:szCs w:val="22"/>
        </w:rPr>
        <w:t xml:space="preserve"> the student activity </w:t>
      </w:r>
      <w:r w:rsidRPr="00DF539F">
        <w:rPr>
          <w:rFonts w:cs="Arial"/>
          <w:i/>
          <w:iCs/>
          <w:color w:val="1A1718"/>
          <w:szCs w:val="22"/>
        </w:rPr>
        <w:t>Sorting Fraction Cards</w:t>
      </w:r>
      <w:r w:rsidRPr="00DF539F">
        <w:rPr>
          <w:rFonts w:cs="Arial"/>
          <w:color w:val="1A1718"/>
          <w:szCs w:val="22"/>
        </w:rPr>
        <w:t>.</w:t>
      </w:r>
    </w:p>
    <w:p w14:paraId="71D11CD6" w14:textId="77777777" w:rsidR="002F13D2" w:rsidRDefault="002F13D2" w:rsidP="002F13D2">
      <w:pPr>
        <w:widowControl w:val="0"/>
        <w:autoSpaceDE w:val="0"/>
        <w:autoSpaceDN w:val="0"/>
        <w:adjustRightInd w:val="0"/>
        <w:spacing w:after="0" w:line="240" w:lineRule="auto"/>
        <w:rPr>
          <w:rFonts w:cs="Arial"/>
          <w:color w:val="1A1718"/>
          <w:szCs w:val="22"/>
        </w:rPr>
      </w:pPr>
    </w:p>
    <w:p w14:paraId="31B22C4F" w14:textId="2BA03031" w:rsidR="001119B4" w:rsidRPr="006168EA" w:rsidRDefault="002F13D2" w:rsidP="006168EA">
      <w:pPr>
        <w:widowControl w:val="0"/>
        <w:autoSpaceDE w:val="0"/>
        <w:autoSpaceDN w:val="0"/>
        <w:adjustRightInd w:val="0"/>
        <w:spacing w:after="0" w:line="240" w:lineRule="auto"/>
        <w:rPr>
          <w:rFonts w:cs="Arial"/>
          <w:color w:val="1A1718"/>
          <w:szCs w:val="22"/>
        </w:rPr>
      </w:pPr>
      <w:r>
        <w:t xml:space="preserve">Tierney Kennedy’s </w:t>
      </w:r>
      <w:hyperlink r:id="rId16" w:history="1">
        <w:r w:rsidRPr="00DF539F">
          <w:rPr>
            <w:rStyle w:val="Hyperlink"/>
          </w:rPr>
          <w:t>Diagonostic</w:t>
        </w:r>
      </w:hyperlink>
      <w:r>
        <w:t xml:space="preserve"> Test </w:t>
      </w:r>
      <w:r w:rsidR="00DD00C1">
        <w:t>preferably</w:t>
      </w:r>
      <w:r>
        <w:t xml:space="preserve"> given to </w:t>
      </w:r>
      <w:r w:rsidR="00DD00C1">
        <w:t>participants</w:t>
      </w:r>
      <w:r>
        <w:t xml:space="preserve"> to </w:t>
      </w:r>
      <w:r w:rsidR="00DD00C1">
        <w:t>administer</w:t>
      </w:r>
      <w:r>
        <w:t xml:space="preserve"> with their classes prior to workshop</w:t>
      </w:r>
      <w:r w:rsidR="006168EA">
        <w:rPr>
          <w:rFonts w:cs="Arial"/>
          <w:color w:val="1A1718"/>
          <w:szCs w:val="22"/>
        </w:rPr>
        <w:t>.</w:t>
      </w:r>
    </w:p>
    <w:p w14:paraId="3E8654F4" w14:textId="1B027A34" w:rsidR="00282325" w:rsidRDefault="00192B5C" w:rsidP="00192B5C">
      <w:pPr>
        <w:pStyle w:val="Heading1"/>
      </w:pPr>
      <w:r>
        <w:t>Slide</w:t>
      </w:r>
      <w:r w:rsidR="00DD00C1">
        <w:t>s</w:t>
      </w:r>
      <w:r>
        <w:t xml:space="preserve"> </w:t>
      </w:r>
      <w:r w:rsidR="00B23F94">
        <w:t>1 - 3</w:t>
      </w:r>
      <w:r w:rsidR="00DD00C1">
        <w:t xml:space="preserve">: </w:t>
      </w:r>
    </w:p>
    <w:p w14:paraId="27974CFA" w14:textId="0FB9A47B" w:rsidR="009F3A47" w:rsidRDefault="009F3A47" w:rsidP="009F3A47">
      <w:r>
        <w:t>The first four slides provide an introduction to</w:t>
      </w:r>
      <w:r w:rsidR="00B23F94">
        <w:t xml:space="preserve"> the module and outline the AITS</w:t>
      </w:r>
      <w:r>
        <w:t xml:space="preserve">L standards that are being addressed. </w:t>
      </w:r>
    </w:p>
    <w:p w14:paraId="5FE7C345" w14:textId="4BF83AEE" w:rsidR="00B23F94" w:rsidRDefault="00B23F94" w:rsidP="005C076B">
      <w:pPr>
        <w:pStyle w:val="Heading1"/>
      </w:pPr>
      <w:r>
        <w:t>Slide 4:</w:t>
      </w:r>
    </w:p>
    <w:p w14:paraId="593B1DEF" w14:textId="2D2E65E5" w:rsidR="00B23F94" w:rsidRPr="009F3A47" w:rsidRDefault="00B23F94" w:rsidP="009F3A47">
      <w:r>
        <w:t>The module objectives to i</w:t>
      </w:r>
      <w:r w:rsidR="005C076B">
        <w:t>dentify misunderstandings, provide strategies to address misunderstandings and consider strategies to prevent misunderstandings from developing.</w:t>
      </w:r>
    </w:p>
    <w:p w14:paraId="59189586" w14:textId="58703B71" w:rsidR="00D4171A" w:rsidRDefault="001119B4" w:rsidP="00D4171A">
      <w:pPr>
        <w:pStyle w:val="Heading1"/>
      </w:pPr>
      <w:r>
        <w:t xml:space="preserve">Slide 5: </w:t>
      </w:r>
      <w:r w:rsidR="0055109D">
        <w:t xml:space="preserve">Topic 1. </w:t>
      </w:r>
      <w:r w:rsidR="00E00994">
        <w:t>Misconceptions</w:t>
      </w:r>
    </w:p>
    <w:p w14:paraId="34C5E0CE" w14:textId="136D4083" w:rsidR="0055109D" w:rsidRDefault="00E00994" w:rsidP="0055109D">
      <w:r>
        <w:t xml:space="preserve">Tierney Kennedy </w:t>
      </w:r>
      <w:r w:rsidR="00071BA6">
        <w:t xml:space="preserve">is a Mathematics consultant and coach from QLD </w:t>
      </w:r>
      <w:r w:rsidR="005C076B">
        <w:t>who specializes in problem-</w:t>
      </w:r>
      <w:r w:rsidR="00071BA6">
        <w:t xml:space="preserve">based teaching. She is the creator of </w:t>
      </w:r>
      <w:hyperlink r:id="rId17" w:history="1">
        <w:r w:rsidR="00071BA6" w:rsidRPr="00071BA6">
          <w:rPr>
            <w:rStyle w:val="Hyperlink"/>
          </w:rPr>
          <w:t>Back to Front Maths</w:t>
        </w:r>
      </w:hyperlink>
      <w:r w:rsidR="00071BA6">
        <w:t xml:space="preserve"> and has written over 50 Mathematics Educational books. Her </w:t>
      </w:r>
      <w:hyperlink r:id="rId18" w:history="1">
        <w:r w:rsidR="00071BA6" w:rsidRPr="00071BA6">
          <w:rPr>
            <w:rStyle w:val="Hyperlink"/>
          </w:rPr>
          <w:t>intervention series</w:t>
        </w:r>
      </w:hyperlink>
      <w:r w:rsidR="00071BA6">
        <w:t xml:space="preserve"> focusses on diagnosing, fixing and preventing misconceptions in mathematics. </w:t>
      </w:r>
    </w:p>
    <w:p w14:paraId="61509510" w14:textId="6B737ED8" w:rsidR="005C076B" w:rsidRDefault="00C76265" w:rsidP="0055109D">
      <w:pPr>
        <w:rPr>
          <w:b/>
          <w:color w:val="20414B" w:themeColor="accent5" w:themeShade="80"/>
          <w:sz w:val="36"/>
          <w:szCs w:val="36"/>
        </w:rPr>
      </w:pPr>
      <w:r w:rsidRPr="0055109D">
        <w:rPr>
          <w:b/>
          <w:color w:val="20414B" w:themeColor="accent5" w:themeShade="80"/>
          <w:sz w:val="36"/>
          <w:szCs w:val="36"/>
        </w:rPr>
        <w:t>S</w:t>
      </w:r>
      <w:r w:rsidR="00071BA6" w:rsidRPr="0055109D">
        <w:rPr>
          <w:b/>
          <w:color w:val="20414B" w:themeColor="accent5" w:themeShade="80"/>
          <w:sz w:val="36"/>
          <w:szCs w:val="36"/>
        </w:rPr>
        <w:t>lides 6 - 8: Misconceptions in Mathematics</w:t>
      </w:r>
    </w:p>
    <w:p w14:paraId="30FE5DA6" w14:textId="0457E1A3" w:rsidR="00D51834" w:rsidRPr="00D51834" w:rsidRDefault="00D51834" w:rsidP="0055109D">
      <w:pPr>
        <w:rPr>
          <w:color w:val="20414B" w:themeColor="accent5" w:themeShade="80"/>
          <w:szCs w:val="22"/>
        </w:rPr>
      </w:pPr>
      <w:r w:rsidRPr="00D51834">
        <w:rPr>
          <w:color w:val="20414B" w:themeColor="accent5" w:themeShade="80"/>
          <w:szCs w:val="22"/>
        </w:rPr>
        <w:t xml:space="preserve">An overview of </w:t>
      </w:r>
      <w:r>
        <w:rPr>
          <w:color w:val="20414B" w:themeColor="accent5" w:themeShade="80"/>
          <w:szCs w:val="22"/>
        </w:rPr>
        <w:t xml:space="preserve">the </w:t>
      </w:r>
      <w:r w:rsidRPr="00D51834">
        <w:rPr>
          <w:color w:val="20414B" w:themeColor="accent5" w:themeShade="80"/>
          <w:szCs w:val="22"/>
        </w:rPr>
        <w:t xml:space="preserve">misconceptions that students </w:t>
      </w:r>
      <w:r>
        <w:rPr>
          <w:color w:val="20414B" w:themeColor="accent5" w:themeShade="80"/>
          <w:szCs w:val="22"/>
        </w:rPr>
        <w:t xml:space="preserve">can </w:t>
      </w:r>
      <w:r w:rsidRPr="00D51834">
        <w:rPr>
          <w:color w:val="20414B" w:themeColor="accent5" w:themeShade="80"/>
          <w:szCs w:val="22"/>
        </w:rPr>
        <w:t>develop.</w:t>
      </w:r>
    </w:p>
    <w:p w14:paraId="324AD337" w14:textId="5A386D01" w:rsidR="0055109D" w:rsidRDefault="005C076B" w:rsidP="0055109D">
      <w:pPr>
        <w:pStyle w:val="Heading1"/>
      </w:pPr>
      <w:r>
        <w:t>Slide 9</w:t>
      </w:r>
      <w:r w:rsidR="0055109D">
        <w:t>: Fraction Misconceptions</w:t>
      </w:r>
    </w:p>
    <w:p w14:paraId="3EFF0C45" w14:textId="013E1744" w:rsidR="002B72AC" w:rsidRPr="00590E66" w:rsidRDefault="005C076B" w:rsidP="002B72AC">
      <w:pPr>
        <w:rPr>
          <w:rStyle w:val="Hyperlink"/>
          <w:u w:val="none"/>
        </w:rPr>
      </w:pPr>
      <w:r>
        <w:t>When students conceptualis</w:t>
      </w:r>
      <w:r w:rsidR="002B72AC">
        <w:t>e a fraction as being a comparison of two numbers they develop misconceptions surrounding the denominator. They need to understand that the numerator divided by the denominator is what the numerical value is of the fraction. If students have not developed their skills in partitioning they will also struggle with fractions and the understanding that the number of parts need to be equa</w:t>
      </w:r>
      <w:r w:rsidR="00761D7D">
        <w:t xml:space="preserve">l. </w:t>
      </w:r>
      <w:r w:rsidR="00590E66">
        <w:t xml:space="preserve"> </w:t>
      </w:r>
      <w:r w:rsidR="00590E66" w:rsidRPr="00590E66">
        <w:rPr>
          <w:color w:val="FF0000"/>
        </w:rPr>
        <w:t xml:space="preserve"> </w:t>
      </w:r>
      <w:r w:rsidR="00761D7D">
        <w:t xml:space="preserve">You might want to refer to Dr Dianne Siemon’s article on </w:t>
      </w:r>
      <w:r w:rsidR="00761D7D">
        <w:fldChar w:fldCharType="begin"/>
      </w:r>
      <w:r w:rsidR="00C64098">
        <w:instrText>HYPERLINK "https://www.eduweb.vic.gov.au/edulibrary/public/teachlearn/student/pppartitioning.pdf"</w:instrText>
      </w:r>
      <w:r w:rsidR="00761D7D">
        <w:fldChar w:fldCharType="separate"/>
      </w:r>
      <w:r w:rsidR="00590E66">
        <w:rPr>
          <w:rStyle w:val="Hyperlink"/>
        </w:rPr>
        <w:t>Partit</w:t>
      </w:r>
      <w:bookmarkStart w:id="0" w:name="_GoBack"/>
      <w:bookmarkEnd w:id="0"/>
      <w:r w:rsidR="00590E66">
        <w:rPr>
          <w:rStyle w:val="Hyperlink"/>
        </w:rPr>
        <w:t xml:space="preserve">ioning.  </w:t>
      </w:r>
    </w:p>
    <w:p w14:paraId="7B95AA36" w14:textId="7C2DDFEE" w:rsidR="0055109D" w:rsidRDefault="00761D7D" w:rsidP="0055109D">
      <w:pPr>
        <w:pStyle w:val="Heading1"/>
      </w:pPr>
      <w:r>
        <w:rPr>
          <w:rFonts w:asciiTheme="minorHAnsi" w:eastAsiaTheme="minorHAnsi" w:hAnsiTheme="minorHAnsi" w:cstheme="minorBidi"/>
          <w:b w:val="0"/>
          <w:color w:val="000000" w:themeColor="text1"/>
          <w:sz w:val="22"/>
          <w:szCs w:val="26"/>
        </w:rPr>
        <w:fldChar w:fldCharType="end"/>
      </w:r>
      <w:r w:rsidR="0055109D">
        <w:t>Sl</w:t>
      </w:r>
      <w:r w:rsidR="00590E66">
        <w:t>ide 10</w:t>
      </w:r>
      <w:r w:rsidR="0055109D">
        <w:t>: The Big Questions</w:t>
      </w:r>
    </w:p>
    <w:p w14:paraId="4EB3B4EB" w14:textId="798608C1" w:rsidR="00761D7D" w:rsidRDefault="00761D7D" w:rsidP="00761D7D">
      <w:r>
        <w:t>You could ask the participants to discuss these questions in a “Think Pair Share” activity or whole group discussion.</w:t>
      </w:r>
    </w:p>
    <w:p w14:paraId="5F965691" w14:textId="745DDD00" w:rsidR="006F7440" w:rsidRDefault="00590E66" w:rsidP="006F7440">
      <w:pPr>
        <w:pStyle w:val="Heading1"/>
      </w:pPr>
      <w:r>
        <w:t>Slide 11</w:t>
      </w:r>
      <w:r w:rsidR="006F7440">
        <w:t>: Topic 2.</w:t>
      </w:r>
    </w:p>
    <w:p w14:paraId="0134BF2A" w14:textId="1EC19355" w:rsidR="006F7440" w:rsidRPr="00590E66" w:rsidRDefault="006F7440" w:rsidP="00590E66">
      <w:pPr>
        <w:pStyle w:val="Heading1"/>
        <w:rPr>
          <w:b w:val="0"/>
          <w:color w:val="20414B" w:themeColor="accent5" w:themeShade="80"/>
          <w:sz w:val="22"/>
          <w:szCs w:val="22"/>
        </w:rPr>
      </w:pPr>
      <w:r w:rsidRPr="00761D7D">
        <w:rPr>
          <w:b w:val="0"/>
          <w:color w:val="20414B" w:themeColor="accent5" w:themeShade="80"/>
          <w:sz w:val="22"/>
          <w:szCs w:val="22"/>
        </w:rPr>
        <w:t>There are many documented Fractions Misconceptions</w:t>
      </w:r>
      <w:r>
        <w:rPr>
          <w:b w:val="0"/>
          <w:color w:val="20414B" w:themeColor="accent5" w:themeShade="80"/>
          <w:sz w:val="22"/>
          <w:szCs w:val="22"/>
        </w:rPr>
        <w:t xml:space="preserve"> that Mathematics Researchers have identified. The AAMT TDT resource has identified four main misunderstandings.</w:t>
      </w:r>
      <w:r w:rsidRPr="00761D7D">
        <w:rPr>
          <w:b w:val="0"/>
          <w:color w:val="20414B" w:themeColor="accent5" w:themeShade="80"/>
          <w:sz w:val="22"/>
          <w:szCs w:val="22"/>
        </w:rPr>
        <w:t xml:space="preserve">  </w:t>
      </w:r>
    </w:p>
    <w:p w14:paraId="6F52A9E6" w14:textId="3DF29818" w:rsidR="0055109D" w:rsidRDefault="00590E66" w:rsidP="0055109D">
      <w:pPr>
        <w:pStyle w:val="Heading1"/>
      </w:pPr>
      <w:r>
        <w:t>Slide 12</w:t>
      </w:r>
      <w:r w:rsidR="0055109D">
        <w:t xml:space="preserve">: </w:t>
      </w:r>
      <w:r w:rsidR="007D3AA8">
        <w:t>Misunderstandings in TDT Fraction</w:t>
      </w:r>
      <w:r>
        <w:t>s</w:t>
      </w:r>
      <w:r w:rsidR="007D3AA8">
        <w:t xml:space="preserve"> </w:t>
      </w:r>
    </w:p>
    <w:p w14:paraId="6F45BBE0" w14:textId="344EB183" w:rsidR="0055109D" w:rsidRDefault="00761D7D" w:rsidP="0055109D">
      <w:pPr>
        <w:rPr>
          <w:color w:val="20414B" w:themeColor="accent5" w:themeShade="80"/>
          <w:szCs w:val="22"/>
        </w:rPr>
      </w:pPr>
      <w:r w:rsidRPr="00761D7D">
        <w:rPr>
          <w:color w:val="20414B" w:themeColor="accent5" w:themeShade="80"/>
          <w:szCs w:val="22"/>
        </w:rPr>
        <w:t>You may choose</w:t>
      </w:r>
      <w:r>
        <w:rPr>
          <w:color w:val="20414B" w:themeColor="accent5" w:themeShade="80"/>
          <w:szCs w:val="22"/>
        </w:rPr>
        <w:t xml:space="preserve"> to encourage participants to access the </w:t>
      </w:r>
      <w:hyperlink r:id="rId19" w:history="1">
        <w:r w:rsidRPr="00761D7D">
          <w:rPr>
            <w:rStyle w:val="Hyperlink"/>
            <w:szCs w:val="22"/>
            <w14:textFill>
              <w14:solidFill>
                <w14:srgbClr w14:val="0000FF">
                  <w14:lumMod w14:val="50000"/>
                </w14:srgbClr>
              </w14:solidFill>
            </w14:textFill>
          </w:rPr>
          <w:t>TDT Fractions drawer</w:t>
        </w:r>
      </w:hyperlink>
      <w:r>
        <w:rPr>
          <w:color w:val="20414B" w:themeColor="accent5" w:themeShade="80"/>
          <w:szCs w:val="22"/>
        </w:rPr>
        <w:t xml:space="preserve"> and enter the </w:t>
      </w:r>
      <w:hyperlink r:id="rId20" w:history="1">
        <w:r w:rsidRPr="00761D7D">
          <w:rPr>
            <w:rStyle w:val="Hyperlink"/>
            <w:szCs w:val="22"/>
            <w14:textFill>
              <w14:solidFill>
                <w14:srgbClr w14:val="0000FF">
                  <w14:lumMod w14:val="50000"/>
                </w14:srgbClr>
              </w14:solidFill>
            </w14:textFill>
          </w:rPr>
          <w:t>Misunderstandings</w:t>
        </w:r>
      </w:hyperlink>
      <w:r>
        <w:rPr>
          <w:color w:val="20414B" w:themeColor="accent5" w:themeShade="80"/>
          <w:szCs w:val="22"/>
        </w:rPr>
        <w:t xml:space="preserve"> menu independently or go through the drawer as a whole group exercise. </w:t>
      </w:r>
    </w:p>
    <w:p w14:paraId="2A7A7D2F" w14:textId="22743B0F" w:rsidR="00E062B7" w:rsidRDefault="00590E66" w:rsidP="00E062B7">
      <w:pPr>
        <w:pStyle w:val="Heading1"/>
      </w:pPr>
      <w:r>
        <w:t>Slide 13</w:t>
      </w:r>
      <w:r w:rsidR="00E062B7">
        <w:t>: Number Parts Only</w:t>
      </w:r>
    </w:p>
    <w:p w14:paraId="0C19AE9C" w14:textId="1826EFBF" w:rsidR="00E062B7" w:rsidRDefault="00E062B7" w:rsidP="00E062B7">
      <w:r>
        <w:t xml:space="preserve">You need to stress the importance of students understanding the equal or </w:t>
      </w:r>
      <w:r w:rsidR="00590E66">
        <w:t>‘</w:t>
      </w:r>
      <w:r>
        <w:t>fairness</w:t>
      </w:r>
      <w:r w:rsidR="00590E66">
        <w:t>’</w:t>
      </w:r>
      <w:r>
        <w:t xml:space="preserve"> nature of the partitions. You could show some additional examples where students are asked to circle which of the following represent a third with multiple examples in diff</w:t>
      </w:r>
      <w:r w:rsidR="005B4780">
        <w:t>erent representations that high</w:t>
      </w:r>
      <w:r>
        <w:t xml:space="preserve">light the fairness ie: capacity, </w:t>
      </w:r>
      <w:r w:rsidR="007D3AA8">
        <w:t>volume, shapes number line</w:t>
      </w:r>
      <w:r w:rsidR="008B66C7">
        <w:t>.</w:t>
      </w:r>
    </w:p>
    <w:p w14:paraId="600A70D6" w14:textId="20F293AD" w:rsidR="003669A8" w:rsidRPr="003669A8" w:rsidRDefault="003669A8" w:rsidP="00E062B7">
      <w:pPr>
        <w:rPr>
          <w:rFonts w:asciiTheme="majorHAnsi" w:eastAsiaTheme="majorEastAsia" w:hAnsiTheme="majorHAnsi" w:cstheme="majorBidi"/>
          <w:b/>
          <w:color w:val="354F5F"/>
          <w:sz w:val="36"/>
          <w:szCs w:val="32"/>
        </w:rPr>
      </w:pPr>
      <w:r w:rsidRPr="003669A8">
        <w:rPr>
          <w:rFonts w:asciiTheme="majorHAnsi" w:eastAsiaTheme="majorEastAsia" w:hAnsiTheme="majorHAnsi" w:cstheme="majorBidi"/>
          <w:b/>
          <w:color w:val="354F5F"/>
          <w:sz w:val="36"/>
          <w:szCs w:val="32"/>
        </w:rPr>
        <w:t>Slides 14 &amp; 15</w:t>
      </w:r>
      <w:r>
        <w:rPr>
          <w:rFonts w:asciiTheme="majorHAnsi" w:eastAsiaTheme="majorEastAsia" w:hAnsiTheme="majorHAnsi" w:cstheme="majorBidi"/>
          <w:b/>
          <w:color w:val="354F5F"/>
          <w:sz w:val="36"/>
          <w:szCs w:val="32"/>
        </w:rPr>
        <w:t>:</w:t>
      </w:r>
    </w:p>
    <w:p w14:paraId="0B97990A" w14:textId="1D010371" w:rsidR="003669A8" w:rsidRDefault="003669A8" w:rsidP="00E062B7">
      <w:r>
        <w:t xml:space="preserve">This example is taken from the TDT Misunderstandings </w:t>
      </w:r>
      <w:hyperlink r:id="rId21" w:history="1">
        <w:r w:rsidRPr="00CD091F">
          <w:rPr>
            <w:rStyle w:val="Hyperlink"/>
          </w:rPr>
          <w:t>http://topdrawer.aamt.edu.au/Fractions/Misunderstandings/Number-of-parts-only/Unequal-areas</w:t>
        </w:r>
      </w:hyperlink>
      <w:r>
        <w:t xml:space="preserve"> It clearly shows the student has counted the parts rather than considered the ‘fairness’ or equal nature of the parts.</w:t>
      </w:r>
    </w:p>
    <w:p w14:paraId="303C8682" w14:textId="5A27DB6C" w:rsidR="003669A8" w:rsidRPr="003669A8" w:rsidRDefault="003669A8" w:rsidP="00E062B7">
      <w:pPr>
        <w:rPr>
          <w:rFonts w:asciiTheme="majorHAnsi" w:eastAsiaTheme="majorEastAsia" w:hAnsiTheme="majorHAnsi" w:cstheme="majorBidi"/>
          <w:b/>
          <w:color w:val="354F5F"/>
          <w:sz w:val="36"/>
          <w:szCs w:val="32"/>
        </w:rPr>
      </w:pPr>
      <w:r w:rsidRPr="003669A8">
        <w:rPr>
          <w:rFonts w:asciiTheme="majorHAnsi" w:eastAsiaTheme="majorEastAsia" w:hAnsiTheme="majorHAnsi" w:cstheme="majorBidi"/>
          <w:b/>
          <w:color w:val="354F5F"/>
          <w:sz w:val="36"/>
          <w:szCs w:val="32"/>
        </w:rPr>
        <w:t>Slide 16:</w:t>
      </w:r>
    </w:p>
    <w:p w14:paraId="151823F3" w14:textId="1FFD871B" w:rsidR="003669A8" w:rsidRPr="00E062B7" w:rsidRDefault="003669A8" w:rsidP="00E062B7">
      <w:r>
        <w:t xml:space="preserve">Another example of only considering the parts.  The correct answer should include quarters and halves.  </w:t>
      </w:r>
    </w:p>
    <w:p w14:paraId="1F30B012" w14:textId="77777777" w:rsidR="00E062B7" w:rsidRDefault="00E062B7" w:rsidP="00E062B7">
      <w:pPr>
        <w:pStyle w:val="Heading1"/>
      </w:pPr>
      <w:r>
        <w:t>Slide 17: How to fix this misconception</w:t>
      </w:r>
    </w:p>
    <w:p w14:paraId="065CDC3E" w14:textId="7BA9AAC6" w:rsidR="008B66C7" w:rsidRDefault="008B66C7" w:rsidP="008B66C7">
      <w:r>
        <w:t>By creating manipulatives students are able to visualize the fractions and the pieces being the same size. You could also give an example relating to say a chocolate bar. If I was to break it into 4 parts and they were not even would this be fair?</w:t>
      </w:r>
    </w:p>
    <w:p w14:paraId="7EA7FC4D" w14:textId="5A1EBABF" w:rsidR="00FF7F5A" w:rsidRPr="00612F1F" w:rsidRDefault="00FF7F5A" w:rsidP="008B66C7">
      <w:pPr>
        <w:rPr>
          <w:rFonts w:asciiTheme="majorHAnsi" w:eastAsiaTheme="majorEastAsia" w:hAnsiTheme="majorHAnsi" w:cstheme="majorBidi"/>
          <w:b/>
          <w:color w:val="354F5F"/>
          <w:sz w:val="36"/>
          <w:szCs w:val="32"/>
        </w:rPr>
      </w:pPr>
      <w:r w:rsidRPr="00612F1F">
        <w:rPr>
          <w:rFonts w:asciiTheme="majorHAnsi" w:eastAsiaTheme="majorEastAsia" w:hAnsiTheme="majorHAnsi" w:cstheme="majorBidi"/>
          <w:b/>
          <w:color w:val="354F5F"/>
          <w:sz w:val="36"/>
          <w:szCs w:val="32"/>
        </w:rPr>
        <w:t>Slide 18:</w:t>
      </w:r>
    </w:p>
    <w:p w14:paraId="67EF19AF" w14:textId="2923E652" w:rsidR="00FF7F5A" w:rsidRPr="00FF7F5A" w:rsidRDefault="00FF7F5A" w:rsidP="008B66C7">
      <w:pPr>
        <w:rPr>
          <w:szCs w:val="22"/>
        </w:rPr>
      </w:pPr>
      <w:r>
        <w:t xml:space="preserve">This activity comes straight from the article ‘Developing an Understanding of the Size of Fractions’ </w:t>
      </w:r>
      <w:hyperlink r:id="rId22" w:history="1">
        <w:r w:rsidRPr="00FF7F5A">
          <w:rPr>
            <w:color w:val="3366FF"/>
            <w:u w:val="single"/>
          </w:rPr>
          <w:t>tdt_F_gould1.pdf</w:t>
        </w:r>
      </w:hyperlink>
      <w:r>
        <w:t xml:space="preserve"> </w:t>
      </w:r>
      <w:r>
        <w:rPr>
          <w:rFonts w:ascii="Arial" w:hAnsi="Arial" w:cs="Arial"/>
          <w:color w:val="3A3A3A" w:themeColor="text2"/>
          <w:sz w:val="24"/>
          <w:szCs w:val="24"/>
        </w:rPr>
        <w:t xml:space="preserve"> </w:t>
      </w:r>
      <w:r>
        <w:rPr>
          <w:rFonts w:cs="Arial"/>
          <w:color w:val="3A3A3A" w:themeColor="text2"/>
          <w:szCs w:val="22"/>
        </w:rPr>
        <w:t>It shows how an object that has 5 equal parts with only 4 areas marked can both develop understanding and identify misconceptions.  Slide 16 could be used in a similar way.</w:t>
      </w:r>
    </w:p>
    <w:p w14:paraId="0DB3933B" w14:textId="53B5296E" w:rsidR="00E062B7" w:rsidRDefault="00612F1F" w:rsidP="00E062B7">
      <w:pPr>
        <w:pStyle w:val="Heading1"/>
      </w:pPr>
      <w:r>
        <w:t>Slide 19</w:t>
      </w:r>
      <w:r w:rsidR="00E062B7">
        <w:t>: Teacher Activity</w:t>
      </w:r>
    </w:p>
    <w:p w14:paraId="3C65F7DA" w14:textId="2EE247AE" w:rsidR="00182E52" w:rsidRDefault="00612F1F" w:rsidP="008B66C7">
      <w:r>
        <w:t xml:space="preserve">Ask participants to </w:t>
      </w:r>
      <w:r w:rsidR="008B66C7">
        <w:t xml:space="preserve">work in groups </w:t>
      </w:r>
      <w:r>
        <w:t xml:space="preserve">of 5 </w:t>
      </w:r>
      <w:r w:rsidR="008B66C7">
        <w:t xml:space="preserve">to save time and resources on this activity. Each member can fold </w:t>
      </w:r>
      <w:r>
        <w:t xml:space="preserve">and cut </w:t>
      </w:r>
      <w:r w:rsidR="008B66C7">
        <w:t>a</w:t>
      </w:r>
      <w:r w:rsidR="00F64BAC">
        <w:t xml:space="preserve"> sheet of coloured A4 to form </w:t>
      </w:r>
      <w:r>
        <w:t xml:space="preserve">the </w:t>
      </w:r>
      <w:r w:rsidR="008B66C7">
        <w:t>differe</w:t>
      </w:r>
      <w:r w:rsidR="00F64BAC">
        <w:t>n</w:t>
      </w:r>
      <w:r w:rsidR="008B66C7">
        <w:t>t fraction</w:t>
      </w:r>
      <w:r w:rsidR="00F64BAC">
        <w:t>s</w:t>
      </w:r>
      <w:r w:rsidR="008B66C7">
        <w:t>.</w:t>
      </w:r>
      <w:r w:rsidR="00F64BAC">
        <w:t xml:space="preserve"> Then as a group they can experiment with the fractional pieces to see how students might use them in an activity.</w:t>
      </w:r>
      <w:r>
        <w:t xml:space="preserve">  If time permits you could ask each group to develop a number parts activity with these fractional pieces that they share with the </w:t>
      </w:r>
      <w:r w:rsidR="00854572">
        <w:t xml:space="preserve">other </w:t>
      </w:r>
      <w:r>
        <w:t>group</w:t>
      </w:r>
      <w:r w:rsidR="00854572">
        <w:t>s</w:t>
      </w:r>
      <w:r>
        <w:t>.</w:t>
      </w:r>
    </w:p>
    <w:p w14:paraId="117AC9F1" w14:textId="3F90FFB8" w:rsidR="00F64BAC" w:rsidRDefault="00F64BAC" w:rsidP="00F64BAC">
      <w:pPr>
        <w:pStyle w:val="Heading1"/>
      </w:pPr>
      <w:r>
        <w:t xml:space="preserve">Slide </w:t>
      </w:r>
      <w:r w:rsidR="00182E52">
        <w:t>20</w:t>
      </w:r>
      <w:r>
        <w:t>: Fractions as a Double Count</w:t>
      </w:r>
    </w:p>
    <w:p w14:paraId="066CA822" w14:textId="2E66E4D8" w:rsidR="00F64BAC" w:rsidRPr="008B66C7" w:rsidRDefault="006F7440" w:rsidP="008B66C7">
      <w:r>
        <w:t xml:space="preserve">The </w:t>
      </w:r>
      <w:hyperlink r:id="rId23" w:history="1">
        <w:r w:rsidRPr="006F7440">
          <w:rPr>
            <w:rStyle w:val="Hyperlink"/>
          </w:rPr>
          <w:t>double count</w:t>
        </w:r>
      </w:hyperlink>
      <w:r w:rsidR="00182E52">
        <w:t xml:space="preserve"> misunderstanding </w:t>
      </w:r>
      <w:r>
        <w:t xml:space="preserve">develops when students have lost the concept of the whole and see a fraction as two numbers. When asked to order fractions this becomes challenging as they are looking at the biggest and smallest number not considering the fractional value. They also misinterpret visual representations as being 2 parts like a ratio rather than part of the whole.  </w:t>
      </w:r>
    </w:p>
    <w:p w14:paraId="28DE93FB" w14:textId="708404AE" w:rsidR="00E062B7" w:rsidRDefault="00E062B7" w:rsidP="00E062B7">
      <w:pPr>
        <w:pStyle w:val="Heading1"/>
      </w:pPr>
      <w:r>
        <w:t>Slide</w:t>
      </w:r>
      <w:r w:rsidR="00182E52">
        <w:t>s 21-23</w:t>
      </w:r>
      <w:r>
        <w:t>: Examples</w:t>
      </w:r>
    </w:p>
    <w:p w14:paraId="0171F40E" w14:textId="59C15503" w:rsidR="006A5A57" w:rsidRPr="006A5A57" w:rsidRDefault="00182E52" w:rsidP="006A5A57">
      <w:r>
        <w:t>The</w:t>
      </w:r>
      <w:r w:rsidR="006A5A57">
        <w:t>s</w:t>
      </w:r>
      <w:r>
        <w:t xml:space="preserve">e </w:t>
      </w:r>
      <w:r w:rsidR="006A5A57">
        <w:t>slide</w:t>
      </w:r>
      <w:r>
        <w:t xml:space="preserve">s give </w:t>
      </w:r>
      <w:r w:rsidR="006A5A57">
        <w:t>some visual examples of a double count response. You could also supplement with some physical examples with coloured counters or blocks in a ratio distribution.</w:t>
      </w:r>
    </w:p>
    <w:p w14:paraId="7DDFC1C5" w14:textId="7C299E2E" w:rsidR="00E062B7" w:rsidRDefault="00E062B7" w:rsidP="00E062B7">
      <w:pPr>
        <w:pStyle w:val="Heading1"/>
      </w:pPr>
      <w:r>
        <w:t>Slide</w:t>
      </w:r>
      <w:r w:rsidR="006A5A57">
        <w:t>s</w:t>
      </w:r>
      <w:r w:rsidR="00F95F55">
        <w:t xml:space="preserve"> 24</w:t>
      </w:r>
      <w:r w:rsidR="009F3A47">
        <w:t xml:space="preserve"> &amp;</w:t>
      </w:r>
      <w:r w:rsidR="00F95F55">
        <w:t xml:space="preserve"> 25</w:t>
      </w:r>
      <w:r>
        <w:t>: Teaching to avoid Double Counting</w:t>
      </w:r>
    </w:p>
    <w:p w14:paraId="144557EE" w14:textId="5CE391AC" w:rsidR="009F3A47" w:rsidRDefault="006A5A57" w:rsidP="0055109D">
      <w:pPr>
        <w:rPr>
          <w:color w:val="20414B" w:themeColor="accent5" w:themeShade="80"/>
          <w:szCs w:val="22"/>
        </w:rPr>
      </w:pPr>
      <w:r>
        <w:rPr>
          <w:color w:val="20414B" w:themeColor="accent5" w:themeShade="80"/>
          <w:szCs w:val="22"/>
        </w:rPr>
        <w:t>The information on the following two slides comes from the TDT Fraction drawer.</w:t>
      </w:r>
      <w:r w:rsidR="009F3A47">
        <w:rPr>
          <w:color w:val="20414B" w:themeColor="accent5" w:themeShade="80"/>
          <w:szCs w:val="22"/>
        </w:rPr>
        <w:t xml:space="preserve"> You may choose to access the drawer</w:t>
      </w:r>
      <w:r w:rsidR="009F3A47" w:rsidRPr="009F3A47">
        <w:t xml:space="preserve"> </w:t>
      </w:r>
      <w:hyperlink r:id="rId24" w:history="1">
        <w:r w:rsidR="009F3A47" w:rsidRPr="009E098A">
          <w:rPr>
            <w:rStyle w:val="Hyperlink"/>
            <w:szCs w:val="22"/>
          </w:rPr>
          <w:t>http://topdrawer.aamt.edu.au/Fractions/Misunderstandings/Fractions-as-a-double-count</w:t>
        </w:r>
      </w:hyperlink>
    </w:p>
    <w:p w14:paraId="1A82E43B" w14:textId="1DC90942" w:rsidR="00E062B7" w:rsidRPr="00761D7D" w:rsidRDefault="009F3A47" w:rsidP="0055109D">
      <w:pPr>
        <w:rPr>
          <w:color w:val="20414B" w:themeColor="accent5" w:themeShade="80"/>
          <w:szCs w:val="22"/>
        </w:rPr>
      </w:pPr>
      <w:r>
        <w:rPr>
          <w:color w:val="20414B" w:themeColor="accent5" w:themeShade="80"/>
          <w:szCs w:val="22"/>
        </w:rPr>
        <w:t xml:space="preserve"> as a whole group or ask participants to access the drawer via their device.</w:t>
      </w:r>
    </w:p>
    <w:p w14:paraId="46241676" w14:textId="1A0E3045" w:rsidR="0055109D" w:rsidRDefault="00A57DCD" w:rsidP="0055109D">
      <w:pPr>
        <w:pStyle w:val="Heading1"/>
      </w:pPr>
      <w:r>
        <w:t>Slide 26</w:t>
      </w:r>
      <w:r w:rsidR="0055109D">
        <w:t>:</w:t>
      </w:r>
      <w:r w:rsidR="002B72AC">
        <w:t xml:space="preserve"> Different Wholes</w:t>
      </w:r>
    </w:p>
    <w:p w14:paraId="0554E055" w14:textId="2C67DE1A" w:rsidR="005E390A" w:rsidRPr="005E390A" w:rsidRDefault="005E390A" w:rsidP="005E390A">
      <w:r>
        <w:t xml:space="preserve">Recognising that the context surrounding the fraction should allow for an understanding of what the whole is. If you are talking about time then the whole might be a day or an </w:t>
      </w:r>
      <w:r w:rsidR="00A57DCD">
        <w:t>hour or a minute etc.  I</w:t>
      </w:r>
      <w:r>
        <w:t>f y</w:t>
      </w:r>
      <w:r w:rsidR="00A57DCD">
        <w:t>ou are talking about a shape the</w:t>
      </w:r>
      <w:r>
        <w:t xml:space="preserve">n it is the complete shape </w:t>
      </w:r>
      <w:r w:rsidR="00A57DCD">
        <w:t>that is the whole or you could talk about two or more shapes representing the whole.  For example the idea of sharing one pizza (the whole) amongst five people or sharing 3 pizzas (the whole) amongst 5 people.</w:t>
      </w:r>
    </w:p>
    <w:p w14:paraId="63117FE9" w14:textId="1ADDB47D" w:rsidR="006A5A57" w:rsidRDefault="00A57DCD" w:rsidP="0055109D">
      <w:pPr>
        <w:pStyle w:val="Heading1"/>
      </w:pPr>
      <w:r>
        <w:t>Slide 27</w:t>
      </w:r>
      <w:r w:rsidR="006A5A57">
        <w:t>:</w:t>
      </w:r>
      <w:r w:rsidR="000D186C">
        <w:t xml:space="preserve"> Teacher Demonstration</w:t>
      </w:r>
    </w:p>
    <w:p w14:paraId="3164F75F" w14:textId="17EAA459" w:rsidR="006A5A57" w:rsidRPr="006A5A57" w:rsidRDefault="006A5A57" w:rsidP="006A5A57">
      <w:r>
        <w:t xml:space="preserve">Using 2 x square coloured paper demonstrate to the participants that you can fold the squares into four horizontally &amp; vertically or diagonally to form </w:t>
      </w:r>
      <m:oMath>
        <m:f>
          <m:fPr>
            <m:ctrlPr>
              <w:rPr>
                <w:rFonts w:ascii="Cambria Math" w:hAnsi="Cambria Math"/>
                <w:i/>
              </w:rPr>
            </m:ctrlPr>
          </m:fPr>
          <m:num>
            <m:r>
              <w:rPr>
                <w:rFonts w:ascii="Cambria Math" w:hAnsi="Cambria Math"/>
              </w:rPr>
              <m:t>1</m:t>
            </m:r>
          </m:num>
          <m:den>
            <m:r>
              <w:rPr>
                <w:rFonts w:ascii="Cambria Math" w:hAnsi="Cambria Math"/>
              </w:rPr>
              <m:t>4</m:t>
            </m:r>
          </m:den>
        </m:f>
      </m:oMath>
      <w:r>
        <w:rPr>
          <w:rFonts w:eastAsiaTheme="minorEastAsia"/>
        </w:rPr>
        <w:t xml:space="preserve"> ‘s . Ask are they the same value? Then using the A4 sheet fold it into 4 and ask are these </w:t>
      </w:r>
      <m:oMath>
        <m:f>
          <m:fPr>
            <m:ctrlPr>
              <w:rPr>
                <w:rFonts w:ascii="Cambria Math" w:hAnsi="Cambria Math"/>
                <w:i/>
              </w:rPr>
            </m:ctrlPr>
          </m:fPr>
          <m:num>
            <m:r>
              <w:rPr>
                <w:rFonts w:ascii="Cambria Math" w:hAnsi="Cambria Math"/>
              </w:rPr>
              <m:t>1</m:t>
            </m:r>
          </m:num>
          <m:den>
            <m:r>
              <w:rPr>
                <w:rFonts w:ascii="Cambria Math" w:hAnsi="Cambria Math"/>
              </w:rPr>
              <m:t>4</m:t>
            </m:r>
          </m:den>
        </m:f>
      </m:oMath>
      <w:r>
        <w:rPr>
          <w:rFonts w:eastAsiaTheme="minorEastAsia"/>
        </w:rPr>
        <w:t xml:space="preserve"> ‘s the same in value to the square quarters? </w:t>
      </w:r>
      <w:r w:rsidRPr="000D3E4A">
        <w:rPr>
          <w:rFonts w:eastAsiaTheme="minorEastAsia"/>
        </w:rPr>
        <w:t xml:space="preserve">See photos </w:t>
      </w:r>
      <w:r w:rsidR="00D523FF" w:rsidRPr="000D3E4A">
        <w:rPr>
          <w:rFonts w:eastAsiaTheme="minorEastAsia"/>
        </w:rPr>
        <w:t>on slide 29 as a guide.</w:t>
      </w:r>
    </w:p>
    <w:p w14:paraId="125E5857" w14:textId="62DD422A" w:rsidR="006A5A57" w:rsidRDefault="00A57DCD" w:rsidP="0055109D">
      <w:pPr>
        <w:pStyle w:val="Heading1"/>
      </w:pPr>
      <w:r>
        <w:t>Slide 28 &amp; 29</w:t>
      </w:r>
      <w:r w:rsidR="006A5A57">
        <w:t>:</w:t>
      </w:r>
      <w:r w:rsidR="000D186C">
        <w:t xml:space="preserve"> Fixing this Misconception</w:t>
      </w:r>
    </w:p>
    <w:p w14:paraId="429E7738" w14:textId="0037F0C9" w:rsidR="005E390A" w:rsidRPr="005E390A" w:rsidRDefault="005E390A" w:rsidP="005E390A">
      <w:r>
        <w:t>The following two slides provide examples and strategies to help fix the misconceptions of different wholes. You could also mention the idea of taking it to the absurd to break the students misconception</w:t>
      </w:r>
      <w:r w:rsidR="00A57DCD">
        <w:t>,</w:t>
      </w:r>
      <w:r>
        <w:t xml:space="preserve"> so asking a student whether half of $10 is the same as half of $1 million dollars </w:t>
      </w:r>
      <w:r w:rsidR="00A57DCD">
        <w:t xml:space="preserve">so </w:t>
      </w:r>
      <w:r>
        <w:t>they can understand easily that they are different halves and not equal as the original whole is different.</w:t>
      </w:r>
    </w:p>
    <w:p w14:paraId="0290CC24" w14:textId="12423191" w:rsidR="006A5A57" w:rsidRDefault="006A5A57" w:rsidP="0055109D">
      <w:pPr>
        <w:pStyle w:val="Heading1"/>
      </w:pPr>
      <w:r>
        <w:t xml:space="preserve">Slide </w:t>
      </w:r>
      <w:r w:rsidR="004347E7">
        <w:t>30</w:t>
      </w:r>
      <w:r>
        <w:t>: Teacher Activity</w:t>
      </w:r>
    </w:p>
    <w:p w14:paraId="327CE5AD" w14:textId="282B4A65" w:rsidR="005E390A" w:rsidRPr="005E390A" w:rsidRDefault="005E390A" w:rsidP="005E390A">
      <w:r>
        <w:t xml:space="preserve">You can access the information for this activity in the </w:t>
      </w:r>
      <w:hyperlink r:id="rId25" w:history="1">
        <w:r w:rsidRPr="005E390A">
          <w:rPr>
            <w:rStyle w:val="Hyperlink"/>
          </w:rPr>
          <w:t>TDT Fractions drawer</w:t>
        </w:r>
      </w:hyperlink>
      <w:r w:rsidR="0011419A">
        <w:t xml:space="preserve">. </w:t>
      </w:r>
      <w:r>
        <w:t xml:space="preserve"> You will need to have downloaded the </w:t>
      </w:r>
      <w:hyperlink r:id="rId26" w:history="1">
        <w:r w:rsidRPr="005E390A">
          <w:rPr>
            <w:rStyle w:val="Hyperlink"/>
          </w:rPr>
          <w:t>template</w:t>
        </w:r>
      </w:hyperlink>
      <w:r>
        <w:t xml:space="preserve"> and made enough copies for </w:t>
      </w:r>
      <w:r w:rsidR="009F3A47">
        <w:t>all your</w:t>
      </w:r>
      <w:r>
        <w:t xml:space="preserve"> participants.</w:t>
      </w:r>
    </w:p>
    <w:p w14:paraId="0B4824AD" w14:textId="5727CC2A" w:rsidR="001F6B02" w:rsidRDefault="001F6B02" w:rsidP="0055109D">
      <w:pPr>
        <w:pStyle w:val="Heading1"/>
      </w:pPr>
      <w:r>
        <w:t xml:space="preserve">Slide </w:t>
      </w:r>
      <w:r w:rsidR="004347E7">
        <w:t>31</w:t>
      </w:r>
      <w:r>
        <w:t>:</w:t>
      </w:r>
      <w:r w:rsidR="000D186C">
        <w:t xml:space="preserve"> Using Rules Blindly</w:t>
      </w:r>
    </w:p>
    <w:p w14:paraId="7F2E28D7" w14:textId="5D56F5B1" w:rsidR="005E390A" w:rsidRDefault="00BC5304" w:rsidP="005E390A">
      <w:r>
        <w:t xml:space="preserve">You could give an example of this misconception </w:t>
      </w:r>
      <w:r w:rsidR="004347E7">
        <w:t>such as students using</w:t>
      </w:r>
      <w:r>
        <w:t xml:space="preserve"> the procedural rule for multiplying fraction</w:t>
      </w:r>
      <w:r w:rsidR="004347E7">
        <w:t>s</w:t>
      </w:r>
      <w:r>
        <w:t xml:space="preserve"> when adding fractions. If they have learnt </w:t>
      </w:r>
      <w:r w:rsidR="004347E7">
        <w:t>the rule procedurally rather than</w:t>
      </w:r>
      <w:r>
        <w:t xml:space="preserve"> conceptually they could assume that it applies to all fractions.</w:t>
      </w:r>
    </w:p>
    <w:p w14:paraId="6C1C80E8" w14:textId="7E4FC7ED" w:rsidR="00A749E3" w:rsidRPr="00A749E3" w:rsidRDefault="00A749E3" w:rsidP="005E390A">
      <w:pPr>
        <w:rPr>
          <w:rFonts w:asciiTheme="majorHAnsi" w:eastAsiaTheme="majorEastAsia" w:hAnsiTheme="majorHAnsi" w:cstheme="majorBidi"/>
          <w:b/>
          <w:color w:val="354F5F"/>
          <w:sz w:val="36"/>
          <w:szCs w:val="32"/>
        </w:rPr>
      </w:pPr>
      <w:r w:rsidRPr="00A749E3">
        <w:rPr>
          <w:rFonts w:asciiTheme="majorHAnsi" w:eastAsiaTheme="majorEastAsia" w:hAnsiTheme="majorHAnsi" w:cstheme="majorBidi"/>
          <w:b/>
          <w:color w:val="354F5F"/>
          <w:sz w:val="36"/>
          <w:szCs w:val="32"/>
        </w:rPr>
        <w:t>Slide 32:</w:t>
      </w:r>
    </w:p>
    <w:p w14:paraId="1C8A3CEB" w14:textId="20E02553" w:rsidR="00A749E3" w:rsidRPr="005E390A" w:rsidRDefault="00A749E3" w:rsidP="005E390A">
      <w:r>
        <w:t xml:space="preserve">Have the participants consider 2/3 </w:t>
      </w:r>
      <w:r w:rsidR="00B14107">
        <w:t xml:space="preserve">+ ¾ and the sort of errors </w:t>
      </w:r>
      <w:r>
        <w:t>students make using the ‘wrong’ rule.  For example using the multiplication procedure for addition they might get the answer 5/7.  Discuss what other mistakes students make.</w:t>
      </w:r>
    </w:p>
    <w:p w14:paraId="2E5EA2B9" w14:textId="47642D1C" w:rsidR="001F6B02" w:rsidRDefault="001F6B02" w:rsidP="0055109D">
      <w:pPr>
        <w:pStyle w:val="Heading1"/>
      </w:pPr>
      <w:r>
        <w:t xml:space="preserve">Slide </w:t>
      </w:r>
      <w:r w:rsidR="003417EA">
        <w:t>33</w:t>
      </w:r>
      <w:r>
        <w:t>:</w:t>
      </w:r>
      <w:r w:rsidR="000D186C">
        <w:t xml:space="preserve"> Fixing this Misconception</w:t>
      </w:r>
    </w:p>
    <w:p w14:paraId="69DF26A8" w14:textId="308D6521" w:rsidR="00BC5304" w:rsidRPr="00BC5304" w:rsidRDefault="00BC5304" w:rsidP="00BC5304">
      <w:r>
        <w:t>Try to teach concepts and avoid merely teaching procedures. Use as many multimodal representation</w:t>
      </w:r>
      <w:r w:rsidR="00B673FF">
        <w:t xml:space="preserve">s </w:t>
      </w:r>
      <w:r>
        <w:t>of fractional concepts for students to develop a rich understanding.</w:t>
      </w:r>
      <w:r w:rsidR="00B673FF" w:rsidRPr="00B673FF">
        <w:t xml:space="preserve"> </w:t>
      </w:r>
      <w:r w:rsidR="00B673FF">
        <w:t xml:space="preserve"> With older students you might consider using the same fractions and solving an addition and multiplication problem or a subtraction and division problem or a multiplication </w:t>
      </w:r>
      <w:r w:rsidR="00921074">
        <w:t>and division problem in two or more different ways.  That is concrete representation, drawing a picture/diagram and algorithmic and have them explain or write a sentence to explain the different answers.  For example: 2/3 + 3/5 and 2/3 x 3/5.</w:t>
      </w:r>
      <w:r w:rsidR="00B673FF">
        <w:t xml:space="preserve"> </w:t>
      </w:r>
      <w:hyperlink r:id="rId27" w:history="1">
        <w:r w:rsidR="00B673FF" w:rsidRPr="00CD091F">
          <w:rPr>
            <w:rStyle w:val="Hyperlink"/>
          </w:rPr>
          <w:t>http://topdrawer.aamt.edu.au/Fractions/Misunderstandings/Using-rules-blindly/Strategy-testing</w:t>
        </w:r>
      </w:hyperlink>
      <w:r w:rsidR="00B673FF">
        <w:t xml:space="preserve"> </w:t>
      </w:r>
    </w:p>
    <w:p w14:paraId="1F211E17" w14:textId="0D5A1C1A" w:rsidR="001F6B02" w:rsidRDefault="001F6B02" w:rsidP="0055109D">
      <w:pPr>
        <w:pStyle w:val="Heading1"/>
      </w:pPr>
      <w:r>
        <w:t>Slide 3</w:t>
      </w:r>
      <w:r w:rsidR="003417EA">
        <w:t>4</w:t>
      </w:r>
      <w:r>
        <w:t>:</w:t>
      </w:r>
      <w:r w:rsidR="000D186C">
        <w:t xml:space="preserve"> Teacher Demonstration</w:t>
      </w:r>
    </w:p>
    <w:p w14:paraId="2A62A0C8" w14:textId="66999812" w:rsidR="00BC5304" w:rsidRPr="00BC5304" w:rsidRDefault="00A32A44" w:rsidP="00BC5304">
      <w:r>
        <w:t xml:space="preserve">You could show the ‘sorting fractions cards’ </w:t>
      </w:r>
      <w:r w:rsidR="00BC5304">
        <w:t xml:space="preserve">interactive PPT to demonstrate how you could use a sorting activity to assist in fixing a “using rules blindly” misconception by giving students a sense of fraction size. The PPT can be downloaded prior to the workshop </w:t>
      </w:r>
      <w:r w:rsidR="008D7DBF">
        <w:t>or you can</w:t>
      </w:r>
      <w:r w:rsidR="00BC5304">
        <w:t xml:space="preserve"> use the LINK </w:t>
      </w:r>
      <w:hyperlink r:id="rId28" w:history="1">
        <w:r w:rsidR="008D7DBF" w:rsidRPr="008D7DBF">
          <w:rPr>
            <w:rFonts w:cs="Arial"/>
            <w:color w:val="0C67B5"/>
            <w:szCs w:val="22"/>
            <w:u w:val="single" w:color="0C67B5"/>
          </w:rPr>
          <w:t>tdt_F_sortingfractionscards_slides.pps</w:t>
        </w:r>
      </w:hyperlink>
      <w:r w:rsidR="008D7DBF">
        <w:rPr>
          <w:rFonts w:ascii="Arial" w:hAnsi="Arial" w:cs="Arial"/>
          <w:color w:val="1A1718"/>
          <w:sz w:val="25"/>
          <w:szCs w:val="25"/>
        </w:rPr>
        <w:t xml:space="preserve"> </w:t>
      </w:r>
      <w:r w:rsidR="00BC5304">
        <w:t>within the slide.</w:t>
      </w:r>
    </w:p>
    <w:p w14:paraId="01D1C0C9" w14:textId="4EA632B9" w:rsidR="005E390A" w:rsidRDefault="003417EA" w:rsidP="0055109D">
      <w:pPr>
        <w:pStyle w:val="Heading1"/>
      </w:pPr>
      <w:r>
        <w:t>Slide 35</w:t>
      </w:r>
      <w:r w:rsidR="005E390A">
        <w:t>:</w:t>
      </w:r>
      <w:r w:rsidR="000D186C">
        <w:t xml:space="preserve"> Topic 3. Diagnostic Test</w:t>
      </w:r>
    </w:p>
    <w:p w14:paraId="300ACDB4" w14:textId="06753382" w:rsidR="00BC5304" w:rsidRPr="00BC5304" w:rsidRDefault="00BC5304" w:rsidP="00BC5304">
      <w:r>
        <w:t>Dr Di Siemons article provides so</w:t>
      </w:r>
      <w:r w:rsidR="008D7DBF">
        <w:t>me useful information and insight</w:t>
      </w:r>
      <w:r>
        <w:t xml:space="preserve"> into partitioning and the impact it has on fractional concept development. </w:t>
      </w:r>
      <w:r w:rsidR="000D186C">
        <w:t xml:space="preserve">It is intended for the next component of the workshop that teachers will have used the Diagnostic test with their class and have the data available to work on. You could break up the </w:t>
      </w:r>
      <w:r w:rsidR="008D7DBF">
        <w:t>s</w:t>
      </w:r>
      <w:r w:rsidR="000D186C">
        <w:t xml:space="preserve">ession into two parts, breaking now and coming back to the workshop after teachers have used the test or allow them to use the test prior to the workshop starting. If they have their own data this will make the activity far richer. </w:t>
      </w:r>
    </w:p>
    <w:p w14:paraId="5B10BD6B" w14:textId="40C5DE5E" w:rsidR="005E390A" w:rsidRDefault="003417EA" w:rsidP="0055109D">
      <w:pPr>
        <w:pStyle w:val="Heading1"/>
      </w:pPr>
      <w:r>
        <w:t>Slide 36</w:t>
      </w:r>
      <w:r w:rsidR="005E390A">
        <w:t>:</w:t>
      </w:r>
      <w:r w:rsidR="000D186C">
        <w:t xml:space="preserve"> Teacher Activity</w:t>
      </w:r>
    </w:p>
    <w:p w14:paraId="0BFE072C" w14:textId="7001D960" w:rsidR="000D186C" w:rsidRPr="000D186C" w:rsidRDefault="000D186C" w:rsidP="000D186C">
      <w:r>
        <w:t>Participants break off into working groups. They are to reflect on their student results for the Fractions Diagnostic test. They compare their data and see if there are any common misconceptions between classes. Pose questions f</w:t>
      </w:r>
      <w:r w:rsidR="00E2143A">
        <w:t>or the group discussion such as:</w:t>
      </w:r>
      <w:r>
        <w:t xml:space="preserve"> Were the results consistent with what you had anticipated?   What activities could you do to try and fix these misconceptions? Brainstorm some ideas and share </w:t>
      </w:r>
      <w:r w:rsidR="00E2143A">
        <w:t>with</w:t>
      </w:r>
      <w:r>
        <w:t xml:space="preserve"> the group.</w:t>
      </w:r>
    </w:p>
    <w:p w14:paraId="1C0DC03B" w14:textId="04834A6C" w:rsidR="005E390A" w:rsidRDefault="003417EA" w:rsidP="0055109D">
      <w:pPr>
        <w:pStyle w:val="Heading1"/>
      </w:pPr>
      <w:r>
        <w:t>Slide 37</w:t>
      </w:r>
      <w:r w:rsidR="005E390A">
        <w:t>:</w:t>
      </w:r>
      <w:r w:rsidR="00910986">
        <w:t xml:space="preserve"> Reflection</w:t>
      </w:r>
    </w:p>
    <w:p w14:paraId="3BC39711" w14:textId="73AFDF80" w:rsidR="00910986" w:rsidRPr="00910986" w:rsidRDefault="00910986" w:rsidP="00910986">
      <w:r>
        <w:t xml:space="preserve">You can do this as a whole group activity allowing participants to provide input or as a “Think Pair Share” </w:t>
      </w:r>
      <w:r w:rsidR="00041978">
        <w:t>or as a self-</w:t>
      </w:r>
      <w:r>
        <w:t>reflection allowing teachers to complete a sheet containing these and/or other questions for a personal reflection of the session.</w:t>
      </w:r>
    </w:p>
    <w:p w14:paraId="16D0475B" w14:textId="6FAF62D6" w:rsidR="005E390A" w:rsidRDefault="003417EA" w:rsidP="0055109D">
      <w:pPr>
        <w:pStyle w:val="Heading1"/>
      </w:pPr>
      <w:r>
        <w:t>Slide 38</w:t>
      </w:r>
      <w:r w:rsidR="005E390A">
        <w:t xml:space="preserve">: </w:t>
      </w:r>
      <w:r w:rsidR="00910986">
        <w:t>Acknowledgements</w:t>
      </w:r>
    </w:p>
    <w:p w14:paraId="55B782B9" w14:textId="4F4E2E59" w:rsidR="0055109D" w:rsidRDefault="0055109D" w:rsidP="0055109D">
      <w:pPr>
        <w:pStyle w:val="Heading1"/>
      </w:pPr>
      <w:r>
        <w:t>Summary</w:t>
      </w:r>
    </w:p>
    <w:p w14:paraId="059EB8EA" w14:textId="0B69FD35" w:rsidR="00252F08" w:rsidRPr="00252F08" w:rsidRDefault="00252F08" w:rsidP="00252F08">
      <w:r>
        <w:t>This Session is aimed at providing participants the knowledge and skills to be able to;</w:t>
      </w:r>
    </w:p>
    <w:p w14:paraId="6C370156" w14:textId="7C23936C" w:rsidR="00252F08" w:rsidRPr="001119B4" w:rsidRDefault="00252F08" w:rsidP="00252F08">
      <w:pPr>
        <w:numPr>
          <w:ilvl w:val="0"/>
          <w:numId w:val="21"/>
        </w:numPr>
      </w:pPr>
      <w:r w:rsidRPr="001119B4">
        <w:t xml:space="preserve"> identify the key misunderstandings surrounding fractions</w:t>
      </w:r>
    </w:p>
    <w:p w14:paraId="153B2E17" w14:textId="29B06650" w:rsidR="00252F08" w:rsidRPr="001119B4" w:rsidRDefault="00252F08" w:rsidP="00252F08">
      <w:pPr>
        <w:numPr>
          <w:ilvl w:val="0"/>
          <w:numId w:val="21"/>
        </w:numPr>
      </w:pPr>
      <w:r w:rsidRPr="001119B4">
        <w:t>provide teachers with some strategies on how to address pre-conceived misunderstandings.</w:t>
      </w:r>
    </w:p>
    <w:p w14:paraId="1A63E6EC" w14:textId="6F51DA2F" w:rsidR="00252F08" w:rsidRDefault="00252F08" w:rsidP="00252F08">
      <w:pPr>
        <w:numPr>
          <w:ilvl w:val="0"/>
          <w:numId w:val="21"/>
        </w:numPr>
      </w:pPr>
      <w:r w:rsidRPr="001119B4">
        <w:t>provide teachers with some strategies to prevent students developing misunderstandings in the first place</w:t>
      </w:r>
    </w:p>
    <w:p w14:paraId="5E757371" w14:textId="0634F837" w:rsidR="00252F08" w:rsidRPr="001119B4" w:rsidRDefault="00252F08" w:rsidP="00252F08">
      <w:r>
        <w:t xml:space="preserve">Below are some additional readings and resources you can provide for </w:t>
      </w:r>
      <w:r w:rsidR="007D3AA8">
        <w:t>participants</w:t>
      </w:r>
      <w:r>
        <w:t xml:space="preserve"> to </w:t>
      </w:r>
      <w:r w:rsidR="007D3AA8">
        <w:t>provide further information on Fraction Misconceptions.</w:t>
      </w:r>
    </w:p>
    <w:p w14:paraId="27C28179" w14:textId="77777777" w:rsidR="0055109D" w:rsidRDefault="0055109D" w:rsidP="0055109D">
      <w:pPr>
        <w:pStyle w:val="Heading1"/>
      </w:pPr>
      <w:r>
        <w:t>Further ideas</w:t>
      </w:r>
    </w:p>
    <w:p w14:paraId="4B8BF80A" w14:textId="41748A84" w:rsidR="007D3AA8" w:rsidRPr="007D3AA8" w:rsidRDefault="007D3AA8" w:rsidP="00761D7D">
      <w:pPr>
        <w:widowControl w:val="0"/>
        <w:autoSpaceDE w:val="0"/>
        <w:autoSpaceDN w:val="0"/>
        <w:adjustRightInd w:val="0"/>
        <w:spacing w:after="0" w:line="240" w:lineRule="auto"/>
        <w:rPr>
          <w:rFonts w:cs="Arial"/>
          <w:b/>
          <w:bCs/>
          <w:color w:val="20414B" w:themeColor="accent5" w:themeShade="80"/>
          <w:szCs w:val="22"/>
        </w:rPr>
      </w:pPr>
      <w:r w:rsidRPr="007D3AA8">
        <w:rPr>
          <w:rFonts w:cs="Arial"/>
          <w:color w:val="1A1718"/>
          <w:szCs w:val="22"/>
        </w:rPr>
        <w:t xml:space="preserve">Further details about common misconceptions can be found in the article </w:t>
      </w:r>
      <w:r w:rsidRPr="007D3AA8">
        <w:rPr>
          <w:rFonts w:cs="Arial"/>
          <w:color w:val="1A1718"/>
          <w:szCs w:val="22"/>
          <w:u w:val="single"/>
        </w:rPr>
        <w:t> </w:t>
      </w:r>
      <w:hyperlink r:id="rId29" w:history="1">
        <w:r w:rsidRPr="007D3AA8">
          <w:rPr>
            <w:rFonts w:cs="Arial"/>
            <w:i/>
            <w:iCs/>
            <w:color w:val="0C67B5"/>
            <w:szCs w:val="22"/>
            <w:u w:val="single" w:color="0C67B5"/>
          </w:rPr>
          <w:t>Developing an Understanding of the Size of Fractions</w:t>
        </w:r>
      </w:hyperlink>
      <w:r w:rsidRPr="007D3AA8">
        <w:rPr>
          <w:rFonts w:cs="Arial"/>
          <w:color w:val="1A1718"/>
          <w:szCs w:val="22"/>
        </w:rPr>
        <w:t xml:space="preserve"> on the AAMT website.</w:t>
      </w:r>
    </w:p>
    <w:p w14:paraId="2EF2B52F" w14:textId="77777777" w:rsidR="007D3AA8" w:rsidRDefault="007D3AA8" w:rsidP="00761D7D">
      <w:pPr>
        <w:widowControl w:val="0"/>
        <w:autoSpaceDE w:val="0"/>
        <w:autoSpaceDN w:val="0"/>
        <w:adjustRightInd w:val="0"/>
        <w:spacing w:after="0" w:line="240" w:lineRule="auto"/>
        <w:rPr>
          <w:rFonts w:cs="Arial"/>
          <w:b/>
          <w:bCs/>
          <w:color w:val="20414B" w:themeColor="accent5" w:themeShade="80"/>
          <w:szCs w:val="22"/>
        </w:rPr>
      </w:pPr>
    </w:p>
    <w:p w14:paraId="46FAB2AB" w14:textId="77777777" w:rsidR="00761D7D" w:rsidRPr="00761D7D" w:rsidRDefault="00761D7D" w:rsidP="00761D7D">
      <w:pPr>
        <w:widowControl w:val="0"/>
        <w:autoSpaceDE w:val="0"/>
        <w:autoSpaceDN w:val="0"/>
        <w:adjustRightInd w:val="0"/>
        <w:spacing w:after="0" w:line="240" w:lineRule="auto"/>
        <w:rPr>
          <w:rFonts w:cs="Arial"/>
          <w:b/>
          <w:bCs/>
          <w:color w:val="20414B" w:themeColor="accent5" w:themeShade="80"/>
          <w:szCs w:val="22"/>
        </w:rPr>
      </w:pPr>
      <w:r w:rsidRPr="00761D7D">
        <w:rPr>
          <w:rFonts w:cs="Arial"/>
          <w:b/>
          <w:bCs/>
          <w:color w:val="20414B" w:themeColor="accent5" w:themeShade="80"/>
          <w:szCs w:val="22"/>
        </w:rPr>
        <w:t>Developing an understanding of the size of fractions</w:t>
      </w:r>
    </w:p>
    <w:p w14:paraId="6BEDC3AA" w14:textId="4B5908F1" w:rsidR="0055109D" w:rsidRPr="00761D7D" w:rsidRDefault="002A3D3A" w:rsidP="00761D7D">
      <w:pPr>
        <w:rPr>
          <w:color w:val="20414B" w:themeColor="accent5" w:themeShade="80"/>
          <w:szCs w:val="22"/>
        </w:rPr>
      </w:pPr>
      <w:hyperlink r:id="rId30" w:history="1">
        <w:r w:rsidR="00761D7D" w:rsidRPr="00761D7D">
          <w:rPr>
            <w:rFonts w:cs="Arial"/>
            <w:color w:val="20414B" w:themeColor="accent5" w:themeShade="80"/>
            <w:szCs w:val="22"/>
            <w:u w:val="single" w:color="0C67B5"/>
          </w:rPr>
          <w:t>tdt_F_gould1.pdf</w:t>
        </w:r>
      </w:hyperlink>
      <w:r w:rsidR="00761D7D" w:rsidRPr="00761D7D">
        <w:rPr>
          <w:rFonts w:cs="Arial"/>
          <w:color w:val="20414B" w:themeColor="accent5" w:themeShade="80"/>
          <w:szCs w:val="22"/>
        </w:rPr>
        <w:t xml:space="preserve"> 1.80 MB</w:t>
      </w:r>
    </w:p>
    <w:p w14:paraId="13A9C8CC" w14:textId="69F0A2B4" w:rsidR="0055109D" w:rsidRDefault="00E062B7" w:rsidP="0055109D">
      <w:pPr>
        <w:rPr>
          <w:b/>
          <w:color w:val="20414B" w:themeColor="accent5" w:themeShade="80"/>
          <w:szCs w:val="22"/>
        </w:rPr>
      </w:pPr>
      <w:r>
        <w:rPr>
          <w:b/>
          <w:color w:val="20414B" w:themeColor="accent5" w:themeShade="80"/>
          <w:szCs w:val="22"/>
        </w:rPr>
        <w:t xml:space="preserve">Learning and Teaching Resources VIC Government: </w:t>
      </w:r>
      <w:hyperlink r:id="rId31" w:history="1">
        <w:r w:rsidRPr="00E062B7">
          <w:rPr>
            <w:rStyle w:val="Hyperlink"/>
            <w:b/>
            <w:szCs w:val="22"/>
            <w14:textFill>
              <w14:solidFill>
                <w14:srgbClr w14:val="0000FF">
                  <w14:lumMod w14:val="50000"/>
                </w14:srgbClr>
              </w14:solidFill>
            </w14:textFill>
          </w:rPr>
          <w:t>Fractions and Decimals Online Interview</w:t>
        </w:r>
      </w:hyperlink>
      <w:r>
        <w:rPr>
          <w:b/>
          <w:color w:val="20414B" w:themeColor="accent5" w:themeShade="80"/>
          <w:szCs w:val="22"/>
        </w:rPr>
        <w:t xml:space="preserve">, </w:t>
      </w:r>
      <w:hyperlink r:id="rId32" w:history="1">
        <w:r w:rsidRPr="00E062B7">
          <w:rPr>
            <w:rStyle w:val="Hyperlink"/>
            <w:b/>
            <w:szCs w:val="22"/>
            <w14:textFill>
              <w14:solidFill>
                <w14:srgbClr w14:val="0000FF">
                  <w14:lumMod w14:val="50000"/>
                </w14:srgbClr>
              </w14:solidFill>
            </w14:textFill>
          </w:rPr>
          <w:t>Assessment for common Misunderstandings</w:t>
        </w:r>
      </w:hyperlink>
    </w:p>
    <w:p w14:paraId="03E24A1F" w14:textId="3C253293" w:rsidR="00910986" w:rsidRDefault="002A3D3A" w:rsidP="0055109D">
      <w:pPr>
        <w:rPr>
          <w:b/>
          <w:color w:val="20414B" w:themeColor="accent5" w:themeShade="80"/>
          <w:szCs w:val="22"/>
        </w:rPr>
      </w:pPr>
      <w:hyperlink r:id="rId33" w:history="1">
        <w:r w:rsidR="00910986" w:rsidRPr="00910986">
          <w:rPr>
            <w:rStyle w:val="Hyperlink"/>
            <w:b/>
            <w:szCs w:val="22"/>
            <w14:textFill>
              <w14:solidFill>
                <w14:srgbClr w14:val="0000FF">
                  <w14:lumMod w14:val="50000"/>
                </w14:srgbClr>
              </w14:solidFill>
            </w14:textFill>
          </w:rPr>
          <w:t>Tools</w:t>
        </w:r>
      </w:hyperlink>
      <w:r w:rsidR="00910986">
        <w:rPr>
          <w:b/>
          <w:color w:val="20414B" w:themeColor="accent5" w:themeShade="80"/>
          <w:szCs w:val="22"/>
        </w:rPr>
        <w:t xml:space="preserve"> for teaching Fractional Understanding</w:t>
      </w:r>
    </w:p>
    <w:p w14:paraId="5E387505" w14:textId="5605EB6A" w:rsidR="00891106" w:rsidRDefault="002A3D3A" w:rsidP="00910986">
      <w:pPr>
        <w:rPr>
          <w:b/>
          <w:color w:val="20414B" w:themeColor="accent5" w:themeShade="80"/>
          <w:szCs w:val="22"/>
        </w:rPr>
      </w:pPr>
      <w:hyperlink r:id="rId34" w:history="1">
        <w:r w:rsidR="00910986" w:rsidRPr="00910986">
          <w:rPr>
            <w:rStyle w:val="Hyperlink"/>
            <w:b/>
            <w:szCs w:val="22"/>
            <w14:textFill>
              <w14:solidFill>
                <w14:srgbClr w14:val="0000FF">
                  <w14:lumMod w14:val="50000"/>
                </w14:srgbClr>
              </w14:solidFill>
            </w14:textFill>
          </w:rPr>
          <w:t>Tools</w:t>
        </w:r>
      </w:hyperlink>
      <w:r w:rsidR="00910986">
        <w:rPr>
          <w:b/>
          <w:color w:val="20414B" w:themeColor="accent5" w:themeShade="80"/>
          <w:szCs w:val="22"/>
        </w:rPr>
        <w:t xml:space="preserve"> for teaching Proportional Reasoning</w:t>
      </w:r>
      <w:r w:rsidR="00910986" w:rsidRPr="000D186C">
        <w:rPr>
          <w:b/>
          <w:color w:val="20414B" w:themeColor="accent5" w:themeShade="80"/>
          <w:szCs w:val="22"/>
        </w:rPr>
        <w:t xml:space="preserve"> </w:t>
      </w:r>
    </w:p>
    <w:p w14:paraId="3922F839" w14:textId="306C7331" w:rsidR="007D3AA8" w:rsidRDefault="002A3D3A" w:rsidP="00910986">
      <w:pPr>
        <w:rPr>
          <w:b/>
          <w:color w:val="20414B" w:themeColor="accent5" w:themeShade="80"/>
          <w:szCs w:val="22"/>
        </w:rPr>
      </w:pPr>
      <w:hyperlink r:id="rId35" w:history="1">
        <w:r w:rsidR="007D3AA8" w:rsidRPr="00A33498">
          <w:rPr>
            <w:rStyle w:val="Hyperlink"/>
            <w:b/>
            <w:szCs w:val="22"/>
            <w14:textFill>
              <w14:solidFill>
                <w14:srgbClr w14:val="0000FF">
                  <w14:lumMod w14:val="50000"/>
                </w14:srgbClr>
              </w14:solidFill>
            </w14:textFill>
          </w:rPr>
          <w:t>http://www.skillsworkshop.org/resources/exploring-fractions-and-misconceptions</w:t>
        </w:r>
      </w:hyperlink>
    </w:p>
    <w:p w14:paraId="6A1A831C" w14:textId="77777777" w:rsidR="00910986" w:rsidRPr="00910986" w:rsidRDefault="00910986" w:rsidP="00910986">
      <w:pPr>
        <w:widowControl w:val="0"/>
        <w:autoSpaceDE w:val="0"/>
        <w:autoSpaceDN w:val="0"/>
        <w:adjustRightInd w:val="0"/>
        <w:spacing w:after="0" w:line="240" w:lineRule="auto"/>
        <w:rPr>
          <w:rFonts w:cs="Arial"/>
          <w:b/>
          <w:bCs/>
          <w:color w:val="1A1718"/>
          <w:szCs w:val="22"/>
        </w:rPr>
      </w:pPr>
      <w:r w:rsidRPr="00910986">
        <w:rPr>
          <w:rFonts w:cs="Arial"/>
          <w:b/>
          <w:bCs/>
          <w:color w:val="1A1718"/>
          <w:szCs w:val="22"/>
        </w:rPr>
        <w:t>Comparing non-unit fractions</w:t>
      </w:r>
    </w:p>
    <w:p w14:paraId="7E08E5D0" w14:textId="1624B85E" w:rsidR="00910986" w:rsidRDefault="00910986" w:rsidP="00910986">
      <w:pPr>
        <w:rPr>
          <w:rFonts w:cs="Arial"/>
          <w:color w:val="1A1718"/>
          <w:szCs w:val="22"/>
        </w:rPr>
      </w:pPr>
      <w:r w:rsidRPr="00910986">
        <w:rPr>
          <w:rFonts w:cs="Arial"/>
          <w:color w:val="1A1718"/>
          <w:szCs w:val="22"/>
        </w:rPr>
        <w:t xml:space="preserve">Display the learning object </w:t>
      </w:r>
      <w:hyperlink r:id="rId36" w:history="1">
        <w:r w:rsidRPr="00910986">
          <w:rPr>
            <w:rFonts w:cs="Arial"/>
            <w:i/>
            <w:iCs/>
            <w:color w:val="0C67B5"/>
            <w:szCs w:val="22"/>
            <w:u w:val="single" w:color="0C67B5"/>
          </w:rPr>
          <w:t>L2803 Fraction fiddle: comparing non-unit fractions</w:t>
        </w:r>
      </w:hyperlink>
      <w:r w:rsidRPr="00910986">
        <w:rPr>
          <w:rFonts w:cs="Arial"/>
          <w:color w:val="1A1718"/>
          <w:szCs w:val="22"/>
        </w:rPr>
        <w:t xml:space="preserve"> to the class on an interactive whiteboard (or projector and screen).</w:t>
      </w:r>
    </w:p>
    <w:p w14:paraId="7CC35D4F" w14:textId="77777777" w:rsidR="00910986" w:rsidRPr="00910986" w:rsidRDefault="00910986" w:rsidP="00910986">
      <w:pPr>
        <w:widowControl w:val="0"/>
        <w:autoSpaceDE w:val="0"/>
        <w:autoSpaceDN w:val="0"/>
        <w:adjustRightInd w:val="0"/>
        <w:spacing w:after="0" w:line="240" w:lineRule="auto"/>
        <w:rPr>
          <w:rFonts w:cs="Arial"/>
          <w:b/>
          <w:bCs/>
          <w:color w:val="1A1718"/>
          <w:szCs w:val="22"/>
        </w:rPr>
      </w:pPr>
      <w:r w:rsidRPr="00910986">
        <w:rPr>
          <w:rFonts w:cs="Arial"/>
          <w:b/>
          <w:bCs/>
          <w:color w:val="1A1718"/>
          <w:szCs w:val="22"/>
        </w:rPr>
        <w:t>Fraction fiddle</w:t>
      </w:r>
    </w:p>
    <w:p w14:paraId="19C1B6E8" w14:textId="6DDF8F1D" w:rsidR="00910986" w:rsidRDefault="00910986" w:rsidP="00910986">
      <w:pPr>
        <w:rPr>
          <w:rFonts w:cs="Arial"/>
          <w:color w:val="1A1718"/>
          <w:szCs w:val="22"/>
        </w:rPr>
      </w:pPr>
      <w:r w:rsidRPr="00910986">
        <w:rPr>
          <w:rFonts w:cs="Arial"/>
          <w:color w:val="1A1718"/>
          <w:szCs w:val="22"/>
        </w:rPr>
        <w:t xml:space="preserve">Display the learning object </w:t>
      </w:r>
      <w:hyperlink r:id="rId37" w:history="1">
        <w:r w:rsidRPr="00910986">
          <w:rPr>
            <w:rFonts w:cs="Arial"/>
            <w:i/>
            <w:iCs/>
            <w:color w:val="0C67B5"/>
            <w:szCs w:val="22"/>
            <w:u w:val="single" w:color="0C67B5"/>
          </w:rPr>
          <w:t>L2800 Fraction fiddle: tool</w:t>
        </w:r>
      </w:hyperlink>
      <w:r w:rsidRPr="00910986">
        <w:rPr>
          <w:rFonts w:cs="Arial"/>
          <w:color w:val="1A1718"/>
          <w:szCs w:val="22"/>
        </w:rPr>
        <w:t xml:space="preserve"> to the class on an interactive whiteboard (or projector and screen).</w:t>
      </w:r>
    </w:p>
    <w:p w14:paraId="0A7212BB" w14:textId="77777777" w:rsidR="00910986" w:rsidRPr="00910986" w:rsidRDefault="00910986" w:rsidP="00910986">
      <w:pPr>
        <w:widowControl w:val="0"/>
        <w:autoSpaceDE w:val="0"/>
        <w:autoSpaceDN w:val="0"/>
        <w:adjustRightInd w:val="0"/>
        <w:spacing w:after="0" w:line="240" w:lineRule="auto"/>
        <w:rPr>
          <w:rFonts w:cs="Arial"/>
          <w:b/>
          <w:bCs/>
          <w:color w:val="1A1718"/>
          <w:szCs w:val="22"/>
        </w:rPr>
      </w:pPr>
      <w:r w:rsidRPr="00910986">
        <w:rPr>
          <w:rFonts w:cs="Arial"/>
          <w:b/>
          <w:bCs/>
          <w:color w:val="1A1718"/>
          <w:szCs w:val="22"/>
        </w:rPr>
        <w:t>Cassowary fractions</w:t>
      </w:r>
    </w:p>
    <w:p w14:paraId="34824FA2" w14:textId="55453E63" w:rsidR="00910986" w:rsidRPr="00910986" w:rsidRDefault="00910986" w:rsidP="00910986">
      <w:pPr>
        <w:rPr>
          <w:b/>
          <w:color w:val="20414B" w:themeColor="accent5" w:themeShade="80"/>
          <w:szCs w:val="22"/>
        </w:rPr>
      </w:pPr>
      <w:r w:rsidRPr="00910986">
        <w:rPr>
          <w:rFonts w:cs="Arial"/>
          <w:color w:val="1A1718"/>
          <w:szCs w:val="22"/>
        </w:rPr>
        <w:t xml:space="preserve">The learning object </w:t>
      </w:r>
      <w:hyperlink r:id="rId38" w:history="1">
        <w:r w:rsidRPr="00910986">
          <w:rPr>
            <w:rFonts w:cs="Arial"/>
            <w:i/>
            <w:iCs/>
            <w:color w:val="0C67B5"/>
            <w:szCs w:val="22"/>
            <w:u w:val="single" w:color="0C67B5"/>
          </w:rPr>
          <w:t>L119 Cassowary ecology quiz</w:t>
        </w:r>
      </w:hyperlink>
      <w:r w:rsidRPr="00910986">
        <w:rPr>
          <w:rFonts w:cs="Arial"/>
          <w:color w:val="1A1718"/>
          <w:szCs w:val="22"/>
        </w:rPr>
        <w:t> has an ecology quiz which provides information about the endangered cassowary species and poses questions involving fractions in that context.</w:t>
      </w:r>
    </w:p>
    <w:p w14:paraId="0094AE7C" w14:textId="77777777" w:rsidR="00E062B7" w:rsidRPr="00761D7D" w:rsidRDefault="00E062B7" w:rsidP="0055109D">
      <w:pPr>
        <w:rPr>
          <w:b/>
          <w:color w:val="20414B" w:themeColor="accent5" w:themeShade="80"/>
          <w:szCs w:val="22"/>
        </w:rPr>
      </w:pPr>
    </w:p>
    <w:sectPr w:rsidR="00E062B7" w:rsidRPr="00761D7D" w:rsidSect="00021DEE">
      <w:headerReference w:type="default" r:id="rId39"/>
      <w:footerReference w:type="even" r:id="rId40"/>
      <w:footerReference w:type="default" r:id="rId41"/>
      <w:headerReference w:type="first" r:id="rId42"/>
      <w:footerReference w:type="first" r:id="rId43"/>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B9068" w14:textId="77777777" w:rsidR="002A3D3A" w:rsidRDefault="002A3D3A">
      <w:pPr>
        <w:spacing w:after="0" w:line="240" w:lineRule="auto"/>
      </w:pPr>
      <w:r>
        <w:separator/>
      </w:r>
    </w:p>
  </w:endnote>
  <w:endnote w:type="continuationSeparator" w:id="0">
    <w:p w14:paraId="2690607D" w14:textId="77777777" w:rsidR="002A3D3A" w:rsidRDefault="002A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B14107" w:rsidRDefault="00B1410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B14107" w:rsidRDefault="00B1410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B14107" w:rsidRPr="004F51DD" w:rsidRDefault="00B14107"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B14107" w:rsidRPr="004F51DD" w:rsidRDefault="00B14107"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C64098">
      <w:rPr>
        <w:noProof/>
      </w:rPr>
      <w:t>4</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C64098">
      <w:rPr>
        <w:noProof/>
      </w:rPr>
      <w:t>10</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B14107" w:rsidRPr="00021DEE" w:rsidRDefault="00B14107"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B14107" w:rsidRPr="004F51DD" w:rsidRDefault="00B14107"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2A3D3A">
      <w:rPr>
        <w:noProof/>
      </w:rPr>
      <w:t>1</w:t>
    </w:r>
    <w:r w:rsidRPr="004F51DD">
      <w:fldChar w:fldCharType="end"/>
    </w:r>
    <w:r w:rsidRPr="004F51DD">
      <w:t xml:space="preserve"> of </w:t>
    </w:r>
    <w:r>
      <w:fldChar w:fldCharType="begin"/>
    </w:r>
    <w:r>
      <w:instrText xml:space="preserve"> NUMPAGES </w:instrText>
    </w:r>
    <w:r>
      <w:fldChar w:fldCharType="separate"/>
    </w:r>
    <w:r w:rsidR="002A3D3A">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C56FD" w14:textId="77777777" w:rsidR="002A3D3A" w:rsidRDefault="002A3D3A">
      <w:pPr>
        <w:spacing w:after="0" w:line="240" w:lineRule="auto"/>
      </w:pPr>
      <w:r>
        <w:separator/>
      </w:r>
    </w:p>
  </w:footnote>
  <w:footnote w:type="continuationSeparator" w:id="0">
    <w:p w14:paraId="5353E9F6" w14:textId="77777777" w:rsidR="002A3D3A" w:rsidRDefault="002A3D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1B3882D4" w:rsidR="00B14107" w:rsidRPr="00021DEE" w:rsidRDefault="00B14107" w:rsidP="004C6EC0">
    <w:pPr>
      <w:pStyle w:val="Header"/>
    </w:pPr>
    <w:r>
      <w:t>Repeating patterns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B14107" w:rsidRDefault="00B14107"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E2D6836"/>
    <w:multiLevelType w:val="hybridMultilevel"/>
    <w:tmpl w:val="5546BB50"/>
    <w:lvl w:ilvl="0" w:tplc="8D047186">
      <w:start w:val="1"/>
      <w:numFmt w:val="bullet"/>
      <w:lvlText w:val="•"/>
      <w:lvlJc w:val="left"/>
      <w:pPr>
        <w:tabs>
          <w:tab w:val="num" w:pos="720"/>
        </w:tabs>
        <w:ind w:left="720" w:hanging="360"/>
      </w:pPr>
      <w:rPr>
        <w:rFonts w:ascii="Arial" w:hAnsi="Arial" w:hint="default"/>
      </w:rPr>
    </w:lvl>
    <w:lvl w:ilvl="1" w:tplc="C622A86A" w:tentative="1">
      <w:start w:val="1"/>
      <w:numFmt w:val="bullet"/>
      <w:lvlText w:val="•"/>
      <w:lvlJc w:val="left"/>
      <w:pPr>
        <w:tabs>
          <w:tab w:val="num" w:pos="1440"/>
        </w:tabs>
        <w:ind w:left="1440" w:hanging="360"/>
      </w:pPr>
      <w:rPr>
        <w:rFonts w:ascii="Arial" w:hAnsi="Arial" w:hint="default"/>
      </w:rPr>
    </w:lvl>
    <w:lvl w:ilvl="2" w:tplc="63C291E4" w:tentative="1">
      <w:start w:val="1"/>
      <w:numFmt w:val="bullet"/>
      <w:lvlText w:val="•"/>
      <w:lvlJc w:val="left"/>
      <w:pPr>
        <w:tabs>
          <w:tab w:val="num" w:pos="2160"/>
        </w:tabs>
        <w:ind w:left="2160" w:hanging="360"/>
      </w:pPr>
      <w:rPr>
        <w:rFonts w:ascii="Arial" w:hAnsi="Arial" w:hint="default"/>
      </w:rPr>
    </w:lvl>
    <w:lvl w:ilvl="3" w:tplc="574C8B12" w:tentative="1">
      <w:start w:val="1"/>
      <w:numFmt w:val="bullet"/>
      <w:lvlText w:val="•"/>
      <w:lvlJc w:val="left"/>
      <w:pPr>
        <w:tabs>
          <w:tab w:val="num" w:pos="2880"/>
        </w:tabs>
        <w:ind w:left="2880" w:hanging="360"/>
      </w:pPr>
      <w:rPr>
        <w:rFonts w:ascii="Arial" w:hAnsi="Arial" w:hint="default"/>
      </w:rPr>
    </w:lvl>
    <w:lvl w:ilvl="4" w:tplc="9F1C8850" w:tentative="1">
      <w:start w:val="1"/>
      <w:numFmt w:val="bullet"/>
      <w:lvlText w:val="•"/>
      <w:lvlJc w:val="left"/>
      <w:pPr>
        <w:tabs>
          <w:tab w:val="num" w:pos="3600"/>
        </w:tabs>
        <w:ind w:left="3600" w:hanging="360"/>
      </w:pPr>
      <w:rPr>
        <w:rFonts w:ascii="Arial" w:hAnsi="Arial" w:hint="default"/>
      </w:rPr>
    </w:lvl>
    <w:lvl w:ilvl="5" w:tplc="C7826E68" w:tentative="1">
      <w:start w:val="1"/>
      <w:numFmt w:val="bullet"/>
      <w:lvlText w:val="•"/>
      <w:lvlJc w:val="left"/>
      <w:pPr>
        <w:tabs>
          <w:tab w:val="num" w:pos="4320"/>
        </w:tabs>
        <w:ind w:left="4320" w:hanging="360"/>
      </w:pPr>
      <w:rPr>
        <w:rFonts w:ascii="Arial" w:hAnsi="Arial" w:hint="default"/>
      </w:rPr>
    </w:lvl>
    <w:lvl w:ilvl="6" w:tplc="F57296DE" w:tentative="1">
      <w:start w:val="1"/>
      <w:numFmt w:val="bullet"/>
      <w:lvlText w:val="•"/>
      <w:lvlJc w:val="left"/>
      <w:pPr>
        <w:tabs>
          <w:tab w:val="num" w:pos="5040"/>
        </w:tabs>
        <w:ind w:left="5040" w:hanging="360"/>
      </w:pPr>
      <w:rPr>
        <w:rFonts w:ascii="Arial" w:hAnsi="Arial" w:hint="default"/>
      </w:rPr>
    </w:lvl>
    <w:lvl w:ilvl="7" w:tplc="6B867540" w:tentative="1">
      <w:start w:val="1"/>
      <w:numFmt w:val="bullet"/>
      <w:lvlText w:val="•"/>
      <w:lvlJc w:val="left"/>
      <w:pPr>
        <w:tabs>
          <w:tab w:val="num" w:pos="5760"/>
        </w:tabs>
        <w:ind w:left="5760" w:hanging="360"/>
      </w:pPr>
      <w:rPr>
        <w:rFonts w:ascii="Arial" w:hAnsi="Arial" w:hint="default"/>
      </w:rPr>
    </w:lvl>
    <w:lvl w:ilvl="8" w:tplc="A0462290" w:tentative="1">
      <w:start w:val="1"/>
      <w:numFmt w:val="bullet"/>
      <w:lvlText w:val="•"/>
      <w:lvlJc w:val="left"/>
      <w:pPr>
        <w:tabs>
          <w:tab w:val="num" w:pos="6480"/>
        </w:tabs>
        <w:ind w:left="6480" w:hanging="360"/>
      </w:pPr>
      <w:rPr>
        <w:rFonts w:ascii="Arial" w:hAnsi="Arial" w:hint="default"/>
      </w:rPr>
    </w:lvl>
  </w:abstractNum>
  <w:abstractNum w:abstractNumId="16">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357A8A"/>
    <w:multiLevelType w:val="hybridMultilevel"/>
    <w:tmpl w:val="AF5835F4"/>
    <w:lvl w:ilvl="0" w:tplc="344C9EA0">
      <w:start w:val="1"/>
      <w:numFmt w:val="bullet"/>
      <w:lvlText w:val="•"/>
      <w:lvlJc w:val="left"/>
      <w:pPr>
        <w:tabs>
          <w:tab w:val="num" w:pos="720"/>
        </w:tabs>
        <w:ind w:left="720" w:hanging="360"/>
      </w:pPr>
      <w:rPr>
        <w:rFonts w:ascii="Arial" w:hAnsi="Arial" w:hint="default"/>
      </w:rPr>
    </w:lvl>
    <w:lvl w:ilvl="1" w:tplc="C7CA1D24" w:tentative="1">
      <w:start w:val="1"/>
      <w:numFmt w:val="bullet"/>
      <w:lvlText w:val="•"/>
      <w:lvlJc w:val="left"/>
      <w:pPr>
        <w:tabs>
          <w:tab w:val="num" w:pos="1440"/>
        </w:tabs>
        <w:ind w:left="1440" w:hanging="360"/>
      </w:pPr>
      <w:rPr>
        <w:rFonts w:ascii="Arial" w:hAnsi="Arial" w:hint="default"/>
      </w:rPr>
    </w:lvl>
    <w:lvl w:ilvl="2" w:tplc="6368E570" w:tentative="1">
      <w:start w:val="1"/>
      <w:numFmt w:val="bullet"/>
      <w:lvlText w:val="•"/>
      <w:lvlJc w:val="left"/>
      <w:pPr>
        <w:tabs>
          <w:tab w:val="num" w:pos="2160"/>
        </w:tabs>
        <w:ind w:left="2160" w:hanging="360"/>
      </w:pPr>
      <w:rPr>
        <w:rFonts w:ascii="Arial" w:hAnsi="Arial" w:hint="default"/>
      </w:rPr>
    </w:lvl>
    <w:lvl w:ilvl="3" w:tplc="7B0012A4" w:tentative="1">
      <w:start w:val="1"/>
      <w:numFmt w:val="bullet"/>
      <w:lvlText w:val="•"/>
      <w:lvlJc w:val="left"/>
      <w:pPr>
        <w:tabs>
          <w:tab w:val="num" w:pos="2880"/>
        </w:tabs>
        <w:ind w:left="2880" w:hanging="360"/>
      </w:pPr>
      <w:rPr>
        <w:rFonts w:ascii="Arial" w:hAnsi="Arial" w:hint="default"/>
      </w:rPr>
    </w:lvl>
    <w:lvl w:ilvl="4" w:tplc="918C2292" w:tentative="1">
      <w:start w:val="1"/>
      <w:numFmt w:val="bullet"/>
      <w:lvlText w:val="•"/>
      <w:lvlJc w:val="left"/>
      <w:pPr>
        <w:tabs>
          <w:tab w:val="num" w:pos="3600"/>
        </w:tabs>
        <w:ind w:left="3600" w:hanging="360"/>
      </w:pPr>
      <w:rPr>
        <w:rFonts w:ascii="Arial" w:hAnsi="Arial" w:hint="default"/>
      </w:rPr>
    </w:lvl>
    <w:lvl w:ilvl="5" w:tplc="C0BA3FAA" w:tentative="1">
      <w:start w:val="1"/>
      <w:numFmt w:val="bullet"/>
      <w:lvlText w:val="•"/>
      <w:lvlJc w:val="left"/>
      <w:pPr>
        <w:tabs>
          <w:tab w:val="num" w:pos="4320"/>
        </w:tabs>
        <w:ind w:left="4320" w:hanging="360"/>
      </w:pPr>
      <w:rPr>
        <w:rFonts w:ascii="Arial" w:hAnsi="Arial" w:hint="default"/>
      </w:rPr>
    </w:lvl>
    <w:lvl w:ilvl="6" w:tplc="B0B6D4C4" w:tentative="1">
      <w:start w:val="1"/>
      <w:numFmt w:val="bullet"/>
      <w:lvlText w:val="•"/>
      <w:lvlJc w:val="left"/>
      <w:pPr>
        <w:tabs>
          <w:tab w:val="num" w:pos="5040"/>
        </w:tabs>
        <w:ind w:left="5040" w:hanging="360"/>
      </w:pPr>
      <w:rPr>
        <w:rFonts w:ascii="Arial" w:hAnsi="Arial" w:hint="default"/>
      </w:rPr>
    </w:lvl>
    <w:lvl w:ilvl="7" w:tplc="DB1C7306" w:tentative="1">
      <w:start w:val="1"/>
      <w:numFmt w:val="bullet"/>
      <w:lvlText w:val="•"/>
      <w:lvlJc w:val="left"/>
      <w:pPr>
        <w:tabs>
          <w:tab w:val="num" w:pos="5760"/>
        </w:tabs>
        <w:ind w:left="5760" w:hanging="360"/>
      </w:pPr>
      <w:rPr>
        <w:rFonts w:ascii="Arial" w:hAnsi="Arial" w:hint="default"/>
      </w:rPr>
    </w:lvl>
    <w:lvl w:ilvl="8" w:tplc="3B28C00E" w:tentative="1">
      <w:start w:val="1"/>
      <w:numFmt w:val="bullet"/>
      <w:lvlText w:val="•"/>
      <w:lvlJc w:val="left"/>
      <w:pPr>
        <w:tabs>
          <w:tab w:val="num" w:pos="6480"/>
        </w:tabs>
        <w:ind w:left="6480" w:hanging="360"/>
      </w:pPr>
      <w:rPr>
        <w:rFonts w:ascii="Arial" w:hAnsi="Arial" w:hint="default"/>
      </w:rPr>
    </w:lvl>
  </w:abstractNum>
  <w:abstractNum w:abstractNumId="21">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1"/>
  </w:num>
  <w:num w:numId="14">
    <w:abstractNumId w:val="18"/>
  </w:num>
  <w:num w:numId="15">
    <w:abstractNumId w:val="14"/>
  </w:num>
  <w:num w:numId="16">
    <w:abstractNumId w:val="11"/>
  </w:num>
  <w:num w:numId="17">
    <w:abstractNumId w:val="13"/>
  </w:num>
  <w:num w:numId="18">
    <w:abstractNumId w:val="16"/>
  </w:num>
  <w:num w:numId="19">
    <w:abstractNumId w:val="19"/>
  </w:num>
  <w:num w:numId="20">
    <w:abstractNumId w:val="12"/>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21DEE"/>
    <w:rsid w:val="00035CC2"/>
    <w:rsid w:val="00041978"/>
    <w:rsid w:val="00050646"/>
    <w:rsid w:val="00062C73"/>
    <w:rsid w:val="00071BA6"/>
    <w:rsid w:val="0009013E"/>
    <w:rsid w:val="00097EBB"/>
    <w:rsid w:val="000C0AC2"/>
    <w:rsid w:val="000C4233"/>
    <w:rsid w:val="000D186C"/>
    <w:rsid w:val="000D3E4A"/>
    <w:rsid w:val="00101073"/>
    <w:rsid w:val="001119B4"/>
    <w:rsid w:val="0011419A"/>
    <w:rsid w:val="00114BDF"/>
    <w:rsid w:val="00120FDE"/>
    <w:rsid w:val="0015029D"/>
    <w:rsid w:val="0016718A"/>
    <w:rsid w:val="00182E52"/>
    <w:rsid w:val="0019187D"/>
    <w:rsid w:val="00192B5C"/>
    <w:rsid w:val="001A6D9C"/>
    <w:rsid w:val="001B0D68"/>
    <w:rsid w:val="001E0530"/>
    <w:rsid w:val="001F6B02"/>
    <w:rsid w:val="00203444"/>
    <w:rsid w:val="00205603"/>
    <w:rsid w:val="0021258B"/>
    <w:rsid w:val="002476D7"/>
    <w:rsid w:val="00252F08"/>
    <w:rsid w:val="00282325"/>
    <w:rsid w:val="002A2A21"/>
    <w:rsid w:val="002A3D3A"/>
    <w:rsid w:val="002B72AC"/>
    <w:rsid w:val="002D28BB"/>
    <w:rsid w:val="002E29F5"/>
    <w:rsid w:val="002E409E"/>
    <w:rsid w:val="002E6786"/>
    <w:rsid w:val="002F13D2"/>
    <w:rsid w:val="002F4BF2"/>
    <w:rsid w:val="003278A3"/>
    <w:rsid w:val="003417EA"/>
    <w:rsid w:val="00351684"/>
    <w:rsid w:val="003669A8"/>
    <w:rsid w:val="0038625A"/>
    <w:rsid w:val="0039533C"/>
    <w:rsid w:val="003A143A"/>
    <w:rsid w:val="003C336C"/>
    <w:rsid w:val="003D6687"/>
    <w:rsid w:val="00425E4C"/>
    <w:rsid w:val="004347E7"/>
    <w:rsid w:val="00444B45"/>
    <w:rsid w:val="004522AB"/>
    <w:rsid w:val="004621B4"/>
    <w:rsid w:val="00472543"/>
    <w:rsid w:val="00474E3E"/>
    <w:rsid w:val="00484DB5"/>
    <w:rsid w:val="004A1629"/>
    <w:rsid w:val="004A6C59"/>
    <w:rsid w:val="004B1199"/>
    <w:rsid w:val="004C6EC0"/>
    <w:rsid w:val="004D0F03"/>
    <w:rsid w:val="004D50A3"/>
    <w:rsid w:val="004F51DD"/>
    <w:rsid w:val="0050027D"/>
    <w:rsid w:val="00535C26"/>
    <w:rsid w:val="005421CF"/>
    <w:rsid w:val="0055109D"/>
    <w:rsid w:val="00590E66"/>
    <w:rsid w:val="005B4780"/>
    <w:rsid w:val="005B753D"/>
    <w:rsid w:val="005C076B"/>
    <w:rsid w:val="005E2F0C"/>
    <w:rsid w:val="005E390A"/>
    <w:rsid w:val="005E3B50"/>
    <w:rsid w:val="00612F1F"/>
    <w:rsid w:val="00615B25"/>
    <w:rsid w:val="006168EA"/>
    <w:rsid w:val="006326F9"/>
    <w:rsid w:val="00681D94"/>
    <w:rsid w:val="006828DF"/>
    <w:rsid w:val="00694C3A"/>
    <w:rsid w:val="00694DF4"/>
    <w:rsid w:val="0069533D"/>
    <w:rsid w:val="006A5A57"/>
    <w:rsid w:val="006E2520"/>
    <w:rsid w:val="006F7440"/>
    <w:rsid w:val="00716C9F"/>
    <w:rsid w:val="007411E3"/>
    <w:rsid w:val="0074248F"/>
    <w:rsid w:val="00761640"/>
    <w:rsid w:val="00761D7D"/>
    <w:rsid w:val="007B4A20"/>
    <w:rsid w:val="007C752D"/>
    <w:rsid w:val="007C7DBC"/>
    <w:rsid w:val="007D3AA8"/>
    <w:rsid w:val="0082230C"/>
    <w:rsid w:val="00822492"/>
    <w:rsid w:val="00831F29"/>
    <w:rsid w:val="00832F52"/>
    <w:rsid w:val="00836AC0"/>
    <w:rsid w:val="008413FB"/>
    <w:rsid w:val="00854572"/>
    <w:rsid w:val="00872249"/>
    <w:rsid w:val="00873D14"/>
    <w:rsid w:val="00891106"/>
    <w:rsid w:val="00896FD2"/>
    <w:rsid w:val="008B66C7"/>
    <w:rsid w:val="008C2B56"/>
    <w:rsid w:val="008D7DBF"/>
    <w:rsid w:val="008F07A2"/>
    <w:rsid w:val="008F17C5"/>
    <w:rsid w:val="008F2101"/>
    <w:rsid w:val="0090681A"/>
    <w:rsid w:val="00907011"/>
    <w:rsid w:val="00910986"/>
    <w:rsid w:val="00911C68"/>
    <w:rsid w:val="00921074"/>
    <w:rsid w:val="00946957"/>
    <w:rsid w:val="00947DF4"/>
    <w:rsid w:val="00955D2E"/>
    <w:rsid w:val="009B4AF0"/>
    <w:rsid w:val="009C3E02"/>
    <w:rsid w:val="009D2AEA"/>
    <w:rsid w:val="009F3A47"/>
    <w:rsid w:val="00A21659"/>
    <w:rsid w:val="00A32A44"/>
    <w:rsid w:val="00A335BC"/>
    <w:rsid w:val="00A4147F"/>
    <w:rsid w:val="00A57DCD"/>
    <w:rsid w:val="00A721BF"/>
    <w:rsid w:val="00A749E3"/>
    <w:rsid w:val="00A8409D"/>
    <w:rsid w:val="00A84FE9"/>
    <w:rsid w:val="00AB71FC"/>
    <w:rsid w:val="00AE57C3"/>
    <w:rsid w:val="00AF391C"/>
    <w:rsid w:val="00B14107"/>
    <w:rsid w:val="00B218D4"/>
    <w:rsid w:val="00B23F94"/>
    <w:rsid w:val="00B23FA4"/>
    <w:rsid w:val="00B30980"/>
    <w:rsid w:val="00B3263D"/>
    <w:rsid w:val="00B4756C"/>
    <w:rsid w:val="00B51484"/>
    <w:rsid w:val="00B673FF"/>
    <w:rsid w:val="00B81DBF"/>
    <w:rsid w:val="00BB10AD"/>
    <w:rsid w:val="00BC5304"/>
    <w:rsid w:val="00BE0DE6"/>
    <w:rsid w:val="00BE3558"/>
    <w:rsid w:val="00BF6428"/>
    <w:rsid w:val="00C02674"/>
    <w:rsid w:val="00C126C1"/>
    <w:rsid w:val="00C2333A"/>
    <w:rsid w:val="00C23819"/>
    <w:rsid w:val="00C43458"/>
    <w:rsid w:val="00C64098"/>
    <w:rsid w:val="00C708FC"/>
    <w:rsid w:val="00C76265"/>
    <w:rsid w:val="00C76585"/>
    <w:rsid w:val="00C76A42"/>
    <w:rsid w:val="00C84B0E"/>
    <w:rsid w:val="00C948FF"/>
    <w:rsid w:val="00CA3F02"/>
    <w:rsid w:val="00CA68CB"/>
    <w:rsid w:val="00CC45D1"/>
    <w:rsid w:val="00CD07BC"/>
    <w:rsid w:val="00CD4119"/>
    <w:rsid w:val="00CE1155"/>
    <w:rsid w:val="00D4171A"/>
    <w:rsid w:val="00D51834"/>
    <w:rsid w:val="00D523FF"/>
    <w:rsid w:val="00D95310"/>
    <w:rsid w:val="00DA41DD"/>
    <w:rsid w:val="00DA5F12"/>
    <w:rsid w:val="00DD00C1"/>
    <w:rsid w:val="00DD7202"/>
    <w:rsid w:val="00DF1AF9"/>
    <w:rsid w:val="00DF539F"/>
    <w:rsid w:val="00E00994"/>
    <w:rsid w:val="00E062B7"/>
    <w:rsid w:val="00E112D3"/>
    <w:rsid w:val="00E16668"/>
    <w:rsid w:val="00E2143A"/>
    <w:rsid w:val="00E442E0"/>
    <w:rsid w:val="00EA526E"/>
    <w:rsid w:val="00EA7468"/>
    <w:rsid w:val="00EB4C6B"/>
    <w:rsid w:val="00EE265C"/>
    <w:rsid w:val="00EF1F2A"/>
    <w:rsid w:val="00F43136"/>
    <w:rsid w:val="00F45479"/>
    <w:rsid w:val="00F56535"/>
    <w:rsid w:val="00F64BAC"/>
    <w:rsid w:val="00F73F7C"/>
    <w:rsid w:val="00F95F55"/>
    <w:rsid w:val="00FB2B11"/>
    <w:rsid w:val="00FB32C4"/>
    <w:rsid w:val="00FB79E1"/>
    <w:rsid w:val="00FC35FB"/>
    <w:rsid w:val="00FD627B"/>
    <w:rsid w:val="00FE0669"/>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9F3A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A47"/>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41034">
      <w:bodyDiv w:val="1"/>
      <w:marLeft w:val="0"/>
      <w:marRight w:val="0"/>
      <w:marTop w:val="0"/>
      <w:marBottom w:val="0"/>
      <w:divBdr>
        <w:top w:val="none" w:sz="0" w:space="0" w:color="auto"/>
        <w:left w:val="none" w:sz="0" w:space="0" w:color="auto"/>
        <w:bottom w:val="none" w:sz="0" w:space="0" w:color="auto"/>
        <w:right w:val="none" w:sz="0" w:space="0" w:color="auto"/>
      </w:divBdr>
      <w:divsChild>
        <w:div w:id="1164013108">
          <w:marLeft w:val="274"/>
          <w:marRight w:val="0"/>
          <w:marTop w:val="150"/>
          <w:marBottom w:val="0"/>
          <w:divBdr>
            <w:top w:val="none" w:sz="0" w:space="0" w:color="auto"/>
            <w:left w:val="none" w:sz="0" w:space="0" w:color="auto"/>
            <w:bottom w:val="none" w:sz="0" w:space="0" w:color="auto"/>
            <w:right w:val="none" w:sz="0" w:space="0" w:color="auto"/>
          </w:divBdr>
        </w:div>
        <w:div w:id="382606122">
          <w:marLeft w:val="274"/>
          <w:marRight w:val="0"/>
          <w:marTop w:val="150"/>
          <w:marBottom w:val="0"/>
          <w:divBdr>
            <w:top w:val="none" w:sz="0" w:space="0" w:color="auto"/>
            <w:left w:val="none" w:sz="0" w:space="0" w:color="auto"/>
            <w:bottom w:val="none" w:sz="0" w:space="0" w:color="auto"/>
            <w:right w:val="none" w:sz="0" w:space="0" w:color="auto"/>
          </w:divBdr>
        </w:div>
      </w:divsChild>
    </w:div>
    <w:div w:id="1007563771">
      <w:bodyDiv w:val="1"/>
      <w:marLeft w:val="0"/>
      <w:marRight w:val="0"/>
      <w:marTop w:val="0"/>
      <w:marBottom w:val="0"/>
      <w:divBdr>
        <w:top w:val="none" w:sz="0" w:space="0" w:color="auto"/>
        <w:left w:val="none" w:sz="0" w:space="0" w:color="auto"/>
        <w:bottom w:val="none" w:sz="0" w:space="0" w:color="auto"/>
        <w:right w:val="none" w:sz="0" w:space="0" w:color="auto"/>
      </w:divBdr>
      <w:divsChild>
        <w:div w:id="865564499">
          <w:marLeft w:val="274"/>
          <w:marRight w:val="0"/>
          <w:marTop w:val="150"/>
          <w:marBottom w:val="0"/>
          <w:divBdr>
            <w:top w:val="none" w:sz="0" w:space="0" w:color="auto"/>
            <w:left w:val="none" w:sz="0" w:space="0" w:color="auto"/>
            <w:bottom w:val="none" w:sz="0" w:space="0" w:color="auto"/>
            <w:right w:val="none" w:sz="0" w:space="0" w:color="auto"/>
          </w:divBdr>
        </w:div>
        <w:div w:id="389574956">
          <w:marLeft w:val="274"/>
          <w:marRight w:val="0"/>
          <w:marTop w:val="150"/>
          <w:marBottom w:val="0"/>
          <w:divBdr>
            <w:top w:val="none" w:sz="0" w:space="0" w:color="auto"/>
            <w:left w:val="none" w:sz="0" w:space="0" w:color="auto"/>
            <w:bottom w:val="none" w:sz="0" w:space="0" w:color="auto"/>
            <w:right w:val="none" w:sz="0" w:space="0" w:color="auto"/>
          </w:divBdr>
        </w:div>
        <w:div w:id="55431737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topdrawer.aamt.edu.au/Fractions/Misunderstandings" TargetMode="External"/><Relationship Id="rId21" Type="http://schemas.openxmlformats.org/officeDocument/2006/relationships/hyperlink" Target="http://topdrawer.aamt.edu.au/Fractions/Misunderstandings/Number-of-parts-only/Unequal-areas" TargetMode="External"/><Relationship Id="rId22" Type="http://schemas.openxmlformats.org/officeDocument/2006/relationships/hyperlink" Target="http://www.aamt.edu.au/content/download/19931/273047/file/tdt_F_gould1.pdf" TargetMode="External"/><Relationship Id="rId23" Type="http://schemas.openxmlformats.org/officeDocument/2006/relationships/hyperlink" Target="http://topdrawer.aamt.edu.au/Fractions/Misunderstandings/Fractions-as-a-double-count" TargetMode="External"/><Relationship Id="rId24" Type="http://schemas.openxmlformats.org/officeDocument/2006/relationships/hyperlink" Target="http://topdrawer.aamt.edu.au/Fractions/Misunderstandings/Fractions-as-a-double-count" TargetMode="External"/><Relationship Id="rId25" Type="http://schemas.openxmlformats.org/officeDocument/2006/relationships/hyperlink" Target="http://topdrawer.aamt.edu.au/Fractions/Misunderstandings/Different-wholes/Cut-and-find" TargetMode="External"/><Relationship Id="rId26" Type="http://schemas.openxmlformats.org/officeDocument/2006/relationships/hyperlink" Target="http://topdrawer.aamt.edu.au/content/download/20291/275581/file/tdt_F_templateofshapes.pdf" TargetMode="External"/><Relationship Id="rId27" Type="http://schemas.openxmlformats.org/officeDocument/2006/relationships/hyperlink" Target="http://topdrawer.aamt.edu.au/Fractions/Misunderstandings/Using-rules-blindly/Strategy-testing" TargetMode="External"/><Relationship Id="rId28" Type="http://schemas.openxmlformats.org/officeDocument/2006/relationships/hyperlink" Target="http://topdrawer.aamt.edu.au/content/download/20391/276091/file/tdt_F_sortingfractionscards_slides.pps" TargetMode="External"/><Relationship Id="rId29" Type="http://schemas.openxmlformats.org/officeDocument/2006/relationships/hyperlink" Target="http://www.aamt.edu.au/Library/TDT-Readings/Fractions/tdt_F_gould1.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amt.edu.au/content/download/19931/273047/file/tdt_F_gould1.pdf" TargetMode="External"/><Relationship Id="rId31" Type="http://schemas.openxmlformats.org/officeDocument/2006/relationships/hyperlink" Target="http://www.education.vic.gov.au/school/teachers/teachingresources/discipline/maths/continuum/Pages/fracdecint.aspx" TargetMode="External"/><Relationship Id="rId32" Type="http://schemas.openxmlformats.org/officeDocument/2006/relationships/hyperlink" Target="http://www.education.vic.gov.au/school/teachers/teachingresources/discipline/maths/assessment/Pages/misunderstandings.aspx" TargetMode="External"/><Relationship Id="rId9" Type="http://schemas.openxmlformats.org/officeDocument/2006/relationships/hyperlink" Target="http://topdrawer.aamt.edu.a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C2%A5%09http://www.education.vic.gov.au/school/teachers/teachingresources/discipline/maths/assessment/Pages/lvl4partit.aspx" TargetMode="External"/><Relationship Id="rId34" Type="http://schemas.openxmlformats.org/officeDocument/2006/relationships/hyperlink" Target="%C2%A5%09http://www.education.vic.gov.au/school/teachers/teachingresources/discipline/maths/assessment/Pages/lvl4partit.aspx" TargetMode="External"/><Relationship Id="rId35" Type="http://schemas.openxmlformats.org/officeDocument/2006/relationships/hyperlink" Target="http://www.skillsworkshop.org/resources/exploring-fractions-and-misconceptions" TargetMode="External"/><Relationship Id="rId36" Type="http://schemas.openxmlformats.org/officeDocument/2006/relationships/hyperlink" Target="http://resolver.thelearningfederation.edu.au/?rft_id=10257/3820" TargetMode="External"/><Relationship Id="rId10" Type="http://schemas.openxmlformats.org/officeDocument/2006/relationships/hyperlink" Target="http://topdrawer.aamt.edu.au/content/download/20291/275581/file/tdt_F_templateofshapes.pdf" TargetMode="External"/><Relationship Id="rId11" Type="http://schemas.openxmlformats.org/officeDocument/2006/relationships/hyperlink" Target="tdt_F_sortingfractionscards_slides.pps" TargetMode="External"/><Relationship Id="rId12" Type="http://schemas.openxmlformats.org/officeDocument/2006/relationships/hyperlink" Target="https://www.backtofrontmaths.com.au/recent-news-articles/finishing-strong-making-those-last-few-weeks-count-plus-a-free-offer-to-boot/attachment/fractions-diagnostic-test" TargetMode="External"/><Relationship Id="rId13" Type="http://schemas.openxmlformats.org/officeDocument/2006/relationships/hyperlink" Target="https://www.backtofrontmaths.com.au/wp-content/uploads/2015/10/Fractions-diagnostic-test.pdf" TargetMode="External"/><Relationship Id="rId14" Type="http://schemas.openxmlformats.org/officeDocument/2006/relationships/hyperlink" Target="http://topdrawer.aamt.edu.au/content/download/20291/275581/file/tdt_F_templateofshapes.pdf" TargetMode="External"/><Relationship Id="rId15" Type="http://schemas.openxmlformats.org/officeDocument/2006/relationships/hyperlink" Target="tdt_F_sortingfractionscards_slides.pps" TargetMode="External"/><Relationship Id="rId16" Type="http://schemas.openxmlformats.org/officeDocument/2006/relationships/hyperlink" Target="https://www.backtofrontmaths.com.au/recent-news-articles/finishing-strong-making-those-last-few-weeks-count-plus-a-free-offer-to-boot/attachment/fractions-diagnostic-test" TargetMode="External"/><Relationship Id="rId17" Type="http://schemas.openxmlformats.org/officeDocument/2006/relationships/hyperlink" Target="https://www.backtofrontmaths.com.au/" TargetMode="External"/><Relationship Id="rId18" Type="http://schemas.openxmlformats.org/officeDocument/2006/relationships/hyperlink" Target="https://www.backtofrontmaths.com.au/free-resources-and-information/interventions-book-resources" TargetMode="External"/><Relationship Id="rId19" Type="http://schemas.openxmlformats.org/officeDocument/2006/relationships/hyperlink" Target="http://topdrawer.aamt.edu.au/Fractions" TargetMode="External"/><Relationship Id="rId37" Type="http://schemas.openxmlformats.org/officeDocument/2006/relationships/hyperlink" Target="http://resolver.thelearningfederation.edu.au/?rft_id=10257/5642" TargetMode="External"/><Relationship Id="rId38" Type="http://schemas.openxmlformats.org/officeDocument/2006/relationships/hyperlink" Target="http://resolver.thelearningfederation.edu.au/?rft_id=10257/808"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header" Target="header2.xml"/><Relationship Id="rId43" Type="http://schemas.openxmlformats.org/officeDocument/2006/relationships/footer" Target="footer3.xml"/><Relationship Id="rId44" Type="http://schemas.openxmlformats.org/officeDocument/2006/relationships/fontTable" Target="fontTable.xml"/><Relationship Id="rId4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CA236F-DE62-FA4C-AABA-8036A441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2652</Words>
  <Characters>15123</Characters>
  <Application>Microsoft Macintosh Word</Application>
  <DocSecurity>0</DocSecurity>
  <Lines>126</Lines>
  <Paragraphs>35</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About this module</vt:lpstr>
      <vt:lpstr>Resources</vt:lpstr>
      <vt:lpstr>Slides 1 - 4: </vt:lpstr>
      <vt:lpstr>Slide 5: Topic 1. Misconceptions</vt:lpstr>
      <vt:lpstr>Slide 10: Fraction Misconceptions</vt:lpstr>
      <vt:lpstr>Slide 11: The Big Questions</vt:lpstr>
      <vt:lpstr>Slide 12: Topic 2.</vt:lpstr>
      <vt:lpstr>There are many documented Fractions Misconceptions that Mathematics Researchers </vt:lpstr>
      <vt:lpstr>Slide 13: Misunderstandings in the Fraction Drawer</vt:lpstr>
      <vt:lpstr>Slide 14 -16: Number Parts Only</vt:lpstr>
      <vt:lpstr>Slide 17: How to fix this misconception</vt:lpstr>
      <vt:lpstr>Slide 18: Teacher Activity</vt:lpstr>
      <vt:lpstr>Slide 19: Fractions as a Double Count</vt:lpstr>
      <vt:lpstr>Slide 20: Examples</vt:lpstr>
      <vt:lpstr>Slides 21 7 22: Teaching to avoid Double Counting</vt:lpstr>
      <vt:lpstr>Slide 23: Different Wholes</vt:lpstr>
      <vt:lpstr>Slide 24: Teacher Demonstration</vt:lpstr>
      <vt:lpstr>Slide 25 &amp; 26: Fixing this Misconception</vt:lpstr>
      <vt:lpstr>Slide 27: Teacher Activity</vt:lpstr>
      <vt:lpstr>Slide 28: Using Rules Blindly</vt:lpstr>
      <vt:lpstr>Slide 29: Fixing this Misconception</vt:lpstr>
      <vt:lpstr>Slide 30: Teacher Demonstration</vt:lpstr>
      <vt:lpstr>Slide 31: Topic 3. Diagnostic Test</vt:lpstr>
      <vt:lpstr>Slide 32: Teacher Activity</vt:lpstr>
      <vt:lpstr>Slide 33: Reflection</vt:lpstr>
      <vt:lpstr>Slide 34: Acknowledgements</vt:lpstr>
      <vt:lpstr>Summary</vt:lpstr>
      <vt:lpstr>Further ideas</vt:lpstr>
    </vt:vector>
  </TitlesOfParts>
  <Company/>
  <LinksUpToDate>false</LinksUpToDate>
  <CharactersWithSpaces>17740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24</cp:revision>
  <cp:lastPrinted>2017-04-04T04:14:00Z</cp:lastPrinted>
  <dcterms:created xsi:type="dcterms:W3CDTF">2017-03-21T03:07:00Z</dcterms:created>
  <dcterms:modified xsi:type="dcterms:W3CDTF">2017-08-01T07:19:00Z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